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png" ContentType="image/png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webSettings.xml" ContentType="application/vnd.openxmlformats-officedocument.wordprocessingml.webSettings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ve="http://schemas.openxmlformats.org/markup-compatibility/2006" xmlns:w="http://schemas.openxmlformats.org/wordprocessingml/2006/main" xmlns:w10="urn:schemas-microsoft-com:office:word" xmlns:wne="http://schemas.microsoft.com/office/word/2006/wordml">
  <w:body>
    <w:tbl>
      <w:tblPr>
        <w:tblStyle w:val="TableStyle0"/>
        <w:tblW w:w="0" w:type="auto"/>
        <w:tblLayout w:type="autofit"/>
        <w:tblLook w:val="04A0"/>
      </w:tblPr>
      <w:tblGrid>
        <w:gridCol w:w="1680"/>
        <w:gridCol w:w="315"/>
        <w:gridCol w:w="1365"/>
        <w:gridCol w:w="512"/>
        <w:gridCol w:w="354"/>
        <w:gridCol w:w="446"/>
        <w:gridCol w:w="328"/>
        <w:gridCol w:w="315"/>
        <w:gridCol w:w="236"/>
        <w:gridCol w:w="525"/>
        <w:gridCol w:w="564"/>
        <w:gridCol w:w="1667"/>
        <w:gridCol w:w="1667"/>
        <w:gridCol w:w="1667"/>
        <w:gridCol w:w="1667"/>
        <w:gridCol w:w="1667"/>
        <w:gridCol w:w="1667"/>
        <w:gridCol w:w="1667"/>
        <w:gridCol w:w="1667"/>
      </w:tblGrid>
      <w:tr>
        <w:trPr>
          <w:trHeight w:val="24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ОТЧЕТ  ОБ  ИСПОЛНЕНИИ БЮДЖЕТА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РАСПОРЯДИТЕЛЯ, РАСПОРЯДИТЕЛЯ, ПОЛУЧАТЕЛЯ БЮДЖЕТНЫХ СРЕДСТВ,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 ГЛАВНОГО АДМИНИСТРАТОРА, АДМИНИСТРАТОРА ИСТОЧНИКОВ ФИНАНСИРОВАНИЯ ДЕФИЦИТА БЮДЖЕТА, 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ГЛАВНОГО АДМИНИСТРАТОРА, АДМИНИСТРАТОРА ДОХОДОВ БЮДЖЕТА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5" w:space="0" w:color="auto"/>
              <w:bottom w:val="non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КОДЫ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3308" w:type="dxa"/>
            <w:gridSpan w:val="15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Форма по ОКУД 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0503127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на </w:t>
            </w:r>
          </w:p>
        </w:tc>
        <w:tc>
          <w:tcPr>
            <w:tcW w:w="2231" w:type="dxa"/>
            <w:gridSpan w:val="2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1 октября 2018 г.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Дата 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01.10.2018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</w:tcPr>
          <w:p>
            <w:pPr>
              <w:ind w:left="20"/>
              <w:wordWrap w:val="1"/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FFFFFF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распорядитель, распорядитель, получатель бюджетных средств, главный администратор, администратор доходов бюджета,</w:t>
            </w:r>
          </w:p>
        </w:tc>
        <w:tc>
          <w:tcPr>
            <w:tcW w:w="7232" w:type="dxa"/>
            <w:vMerge w:val="restart"/>
            <w:gridSpan w:val="5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Атяшевского городского поселения Атяшевского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ОКПО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04301721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6076" w:type="dxa"/>
            <w:gridSpan w:val="10"/>
            <w:shd w:val="clear" w:color="FFFFFF" w:fill="auto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главный администратор, администратор источников финансирования </w:t>
              <w:br/>
              <w:t>
дефицита бюджета</w:t>
            </w:r>
          </w:p>
        </w:tc>
        <w:tc>
          <w:tcPr>
            <w:tcW w:w="7232" w:type="dxa"/>
            <w:vMerge w:val="continue"/>
            <w:gridSpan w:val="5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Администрация Атяшевского городского поселения Атяшевского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Глава по БК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Наименование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7232" w:type="dxa"/>
            <w:gridSpan w:val="5"/>
            <w:shd w:val="clear" w:color="FFFFFF" w:fill="auto"/>
            <w:textDirection w:val="lrTb"/>
            <w:vAlign w:val="bottom"/>
            <w:tcBorders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Бюджет Атяшевского городского поселения Атяшевского муниципального района Республики Мордовия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ОКТМО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89207551000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872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Периодичность: месячная,квартальная, годовая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899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Единица измерения:</w:t>
            </w:r>
          </w:p>
        </w:tc>
        <w:tc>
          <w:tcPr>
            <w:tcW w:w="1680" w:type="dxa"/>
            <w:gridSpan w:val="2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руб.</w:t>
            </w:r>
          </w:p>
        </w:tc>
        <w:tc>
          <w:tcPr>
            <w:tcW w:w="11615" w:type="dxa"/>
            <w:gridSpan w:val="13"/>
            <w:shd w:val="clear" w:color="FFFFFF" w:fill="auto"/>
            <w:textDirection w:val="lrTb"/>
            <w:vAlign w:val="bottom"/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по ОКЕИ  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5" w:space="0" w:color="auto"/>
              <w:left w:val="single" w:sz="10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383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5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1. Доходы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28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36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vMerge w:val="restart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vMerge w:val="continue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дохода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Доходы бюджета — всего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26 458 850,21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23 712 169,75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23 712 169,75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14 941 100,00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13 754 530,63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13 754 530,63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1 186 569,37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41 333,98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41 333,98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32 600,04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32 600,04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 (прочие поступления)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-189,80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-189,80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10 492,40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10 492,40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2,01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2,01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1010202001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402,60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402,60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18 296,30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18 296,30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264,07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264,07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1010203001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250,40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250,40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уплаты акцизов на дизельное топливо,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1030223001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365 000,00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305 261,96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305 261,96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59 738,04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уплаты акцизов на моторные масла для дизельных и (или) карбюраторных (инжекторных) двигателей,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1030224001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2 768,79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2 768,79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231,21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уплаты акцизов на автомобильный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1030225001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544 568,86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461 324,60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461 324,60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83 244,26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уплаты акцизов на прямогонный бензин, подлежащие распределению между бюджетами субъектов Российской Федерации и местными бюджетами с учетом установленных дифференцированных нормативов отчислений в местные бюджеты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1030226001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-26 268,86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-68 377,50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-68 377,50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56 100,00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10 784,91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10 784,91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45 315,09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Единый сельскохозяйственный налог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1050301001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1 295,26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1 295,26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1 123 700,00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193 036,61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193 036,61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930 663,39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Налог на имущество физических лиц, взимаемый по ставкам, применяемым к объектам налогообложения, расположенным в границах городских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1060103013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2 285,14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2 285,14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6 071 000,00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7 741 908,39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7 741 908,39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72 553,09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72 553,09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организаций, обладающих земельным участком, расположенным в границах городских поселений (суммы денежных взысканий (штрафов) по соответствующему платежу согласно законодательству Российской Федерации)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1060603313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 (перерасчеты, недоимка и задолженность по соответствующему платежу, в том числе по отмененному)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1 546 700,00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219 422,09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219 422,09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1 327 277,91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Земельный налог с физических лиц, обладающих земельным участком, расположенным в границах городских поселений (пени по соответствующему платежу)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182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1060604313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2100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3 124,10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3 124,10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городских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1110501313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410 000,00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452 261,67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452 261,67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1110502513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263 560,80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263 560,80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1110503513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10 350,00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10 350,00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городских поселений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900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1140601313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22 075,21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22 075,21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22 075,21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2022555513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1 169 875,00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1 169 875,00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2023002413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от других бюджетов бюджетной системы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2023511813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185 700,00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98 952,00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98 952,00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86 748,00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безвозмездные поступления в бюджеты городских поселений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1325" w:type="dxa"/>
            <w:gridSpan w:val="4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2070503013</w:t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0000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  <w:tcBorders>
              <w:top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p>
        <w:r>
          <w:br w:type="page"/>
        </w:r>
      </w:p>
      <w:tr>
        <w:trPr/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2. Расходы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vMerge w:val="restart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3334" w:type="dxa"/>
            <w:gridSpan w:val="2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ind w:left="0"/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 назначения</w:t>
            </w:r>
          </w:p>
        </w:tc>
      </w:tr>
      <w:tr>
        <w:trPr/>
        <w:tc>
          <w:tcPr>
            <w:tcW w:w="3360" w:type="dxa"/>
            <w:vMerge w:val="continue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расхода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Лимиты бюджетных обязательств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ассигнованиям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по лимитам бюджетных обязательств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0"/>
              <w:jc w:val="left"/>
            </w:pPr>
            <w:r>
              <w:rPr>
                <w:rFonts w:ascii="Arial" w:hAnsi="Arial"/>
                <w:sz w:val="18"/>
                <w:szCs w:val="18"/>
              </w:rPr>
              <w:t>Расходы бюджета — всего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200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32 929 044,29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32 929 044,29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19 191 988,64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19 191 988,64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13 737 055,65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13 737 055,65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wordWrap w:val="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2 226 114,40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2 226 114,40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873 885,60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873 885,60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936 200,00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936 200,00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653 881,80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653 881,80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282 318,20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282 318,20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 персоналу государственных (муниципальных) органов, за исключением фонда оплаты труда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49 500,00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выплаты, за исключением фонда оплаты труда государственных (муниципальных) органов, лицам, привлекаемым согласно законодательству для выполнения отдельных полномочий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79 000,00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38 576,00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38 576,00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40 424,00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40 424,00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17 000,00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11 649,93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11 649,93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5 350,07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5 350,07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2 263 255,00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2 263 255,00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1 605 210,00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1 605 210,00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658 045,00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658 045,00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Исполнение судебных актов Российской Федерации и мировых соглашений по возмещению причиненного вреда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831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82 388,80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82 388,80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111,20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111,20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налога на имущество организаций и земельного налога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62 800,00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33 641,00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33 641,00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29 159,00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29 159,00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прочие налоги и сборы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21 400,00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4 934,00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4 934,00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16 466,00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16 466,00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Уплата иных платежей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853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66 900,00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16 104,03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16 104,03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50 795,97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50 795,97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550 000,00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165 900,00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01201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0104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77150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Резервные средства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41180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870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29001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42060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42300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</w:tr>
      <w:tr>
        <w:trPr>
          <w:trHeight w:val="85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Фонд оплаты труда государственных (муниципальных) органов и взносы по обязательному социальному страхованию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141 860,00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141 860,00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76 000,00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65 860,00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65 860,00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42 840,00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42 840,00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22 952,00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22 952,00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19 888,00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19 888,00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0203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51180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Взнос в уставный капитал открытого акционерного общества «Концерн „Океанприбор“», г. Санкт-Петербург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180 000,00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114 823,08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114 823,08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65 176,92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65 176,92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586 300,00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586 300,00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339 700,00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339 700,00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1 064 809,00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1 064 809,00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676 809,00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676 809,00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388 000,00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388 000,00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0409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0412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12001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42090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106 833,33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106 833,33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10 030,19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10 030,19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96 803,14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96 803,14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42170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42170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149 800,00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42360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84 800,00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25 460,43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25 460,43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59 339,57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59 339,57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155 750,00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155 750,00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31 771,45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31 771,45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123 978,55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123 978,55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0502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42020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1 230 200,00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1 230 000,00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04001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L5550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1 372 088,66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1 372 088,66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1 372 088,66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1 372 088,66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1 177 626,69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1 177 626,69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822 373,31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822 373,31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3 965 739,33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3 965 739,33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2 977 524,17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2 977 524,17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988 215,16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988 215,16</w:t>
            </w:r>
          </w:p>
        </w:tc>
      </w:tr>
      <w:tr>
        <w:trPr>
          <w:trHeight w:val="23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(гранты в форме субсидий) на финансовое обеспечение затрат в связи с производством (реализацией товаров), выполнением работ, оказанием услуг, порядком (правилами) предоставления которых установлено требование о последующем подтверждении их использования в соответствии с условиями и (или) целями предоставления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27001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43040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8 600 000,00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2 600 000,00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0603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42050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300 000,00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межбюджетные трансферты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540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5 026 600,00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5 026 600,00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1 829 638,48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1 829 638,48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3 196 961,52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3 196 961,52</w:t>
            </w:r>
          </w:p>
        </w:tc>
      </w:tr>
      <w:tr>
        <w:trPr>
          <w:trHeight w:val="127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Субсидии бюджетным учреждениям на финансовое обеспечение государственного (муниципального) задания на оказание государственных (муниципальных) услуг (выполнение работ)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0801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05101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32 868,97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32 868,97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32 868,97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32 868,97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Иные пенсии, социальные доплаты к пенсиям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89100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03010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312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91 400,00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46 184,22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46 184,22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45 215,78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45 215,78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соц помощь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1003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03001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01170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360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50 000,00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13 500,00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36 500,00</w:t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924</w:t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1101</w:t>
            </w:r>
          </w:p>
        </w:tc>
        <w:tc>
          <w:tcPr>
            <w:tcW w:w="643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06001</w:t>
            </w:r>
          </w:p>
        </w:tc>
        <w:tc>
          <w:tcPr>
            <w:tcW w:w="761" w:type="dxa"/>
            <w:gridSpan w:val="2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42040</w:t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244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30 000,00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6 000,00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24 000,00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Результат исполнения бюджета (дефицит / профицит 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450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4 520 181,11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4 520 181,11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  <w:tcBorders>
              <w:top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p>
        <w:r>
          <w:br w:type="page"/>
        </w:r>
      </w:p>
      <w:tr>
        <w:trPr/>
        <w:tc>
          <w:tcPr>
            <w:tcW w:w="14975" w:type="dxa"/>
            <w:gridSpan w:val="16"/>
            <w:shd w:val="clear" w:color="FFFFFF" w:fill="auto"/>
            <w:textDirection w:val="lrTb"/>
            <w:vAlign w:val="bottom"/>
          </w:tcPr>
          <w:p>
            <w:pPr>
              <w:jc w:val="center"/>
            </w:pPr>
            <w:r>
              <w:rPr>
                <w:rFonts w:ascii="Arial" w:hAnsi="Arial"/>
                <w:b/>
                <w:sz w:val="18"/>
                <w:szCs w:val="18"/>
              </w:rPr>
              <w:t>3. Источники финансирования дефицита бюджета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vMerge w:val="restart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restart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6668" w:type="dxa"/>
            <w:gridSpan w:val="4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Исполнено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Неисполненные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vMerge w:val="continue"/>
            <w:gridSpan w:val="3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 Наименование показателя</w:t>
            </w:r>
          </w:p>
        </w:tc>
        <w:tc>
          <w:tcPr>
            <w:tcW w:w="512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</w:t>
              <w:br/>
              <w:t>
стро-</w:t>
              <w:br/>
              <w:t>
ки</w:t>
            </w:r>
          </w:p>
        </w:tc>
        <w:tc>
          <w:tcPr>
            <w:tcW w:w="2768" w:type="dxa"/>
            <w:vMerge w:val="continue"/>
            <w:gridSpan w:val="7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Код источника финансирования</w:t>
              <w:br/>
              <w:t>
по бюджетной классификации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Утвержденные бюджетные 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финансовые органы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через банковские счета 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некассовые операции</w:t>
            </w:r>
          </w:p>
        </w:tc>
        <w:tc>
          <w:tcPr>
            <w:tcW w:w="1667" w:type="dxa"/>
            <w:shd w:val="clear" w:color="FFFFFF" w:fill="auto"/>
            <w:textDirection w:val="lrTb"/>
            <w:vAlign w:val="center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итого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назначения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финансирования дефицита бюджета — всего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500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-4 520 181,11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-4 520 181,11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1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</w:tcBorders>
          </w:tcPr>
          <w:p>
            <w:pPr>
              <w:ind w:left="40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right w:val="single" w:sz="10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внутреннего финансирования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520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источники внешнего финансирования бюджета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620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non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средств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700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средств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710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средств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720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5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446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879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25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non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46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40"/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Изменение остатков по расчетам (стр. 810 + стр. 820)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800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-4 520 181,11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-4 520 181,11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расчетам с органами, организующими исполнение бюджета</w:t>
              <w:br/>
              <w:t>
(стр. 811 + стр. 812)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-4 520 181,11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-4 520 181,11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 них: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20"/>
                <w:szCs w:val="20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счетов расчетов (дебетовый остаток счета 1 210 02 000)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811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-23 712 169,75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-23 712 169,75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64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счетов расчетов (кредитовый остаток счета 1 304 05 000)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812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19 191 988,64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19 191 988,64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43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8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Изменение остатков по внутренним расчетам (стр. 821 + стр. 822)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820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40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в том числе: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none" w:sz="0" w:space="0" w:color="auto"/>
              <w:right w:val="single" w:sz="10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увеличение остатков по внутренним расчетам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1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821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none" w:sz="0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none" w:sz="0" w:space="0" w:color="auto"/>
              <w:left w:val="single" w:sz="5" w:space="0" w:color="auto"/>
              <w:bottom w:val="single" w:sz="5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/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</w:tcPr>
          <w:p>
            <w:pPr>
              <w:ind w:left="120"/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>уменьшение остатков по внутренним расчетам </w:t>
            </w:r>
          </w:p>
        </w:tc>
        <w:tc>
          <w:tcPr>
            <w:tcW w:w="512" w:type="dxa"/>
            <w:shd w:val="clear" w:color="FFFFFF" w:fill="auto"/>
            <w:textDirection w:val="lrTb"/>
            <w:vAlign w:val="top"/>
            <w:tcBorders>
              <w:left w:val="single" w:sz="10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6"/>
                <w:szCs w:val="16"/>
              </w:rPr>
              <w:t>822</w:t>
            </w:r>
          </w:p>
        </w:tc>
        <w:tc>
          <w:tcPr>
            <w:tcW w:w="2768" w:type="dxa"/>
            <w:gridSpan w:val="7"/>
            <w:shd w:val="clear" w:color="FFFFFF" w:fill="auto"/>
            <w:textDirection w:val="lrTb"/>
            <w:vAlign w:val="top"/>
            <w:tcBorders>
              <w:top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</w:tcPr>
          <w:p>
            <w:pPr>
              <w:jc w:val="right"/>
            </w:pPr>
            <w:r>
              <w:rPr>
                <w:rFonts w:ascii="Arial" w:hAnsi="Arial"/>
                <w:sz w:val="16"/>
                <w:szCs w:val="16"/>
              </w:rPr>
              <w:t>-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8"/>
                <w:szCs w:val="18"/>
              </w:rPr>
              <w:t>×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</w:tr>
      <w:tr>
        <w:trPr>
          <w:trHeight w:val="225" w:hRule="atLeast"/>
        </w:trPr>
        <w:tc>
          <w:tcPr>
            <w:tcW w:w="16642" w:type="dxa"/>
            <w:gridSpan w:val="17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</w:t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8"/>
                <w:szCs w:val="18"/>
              </w:rPr>
              <w:t>А.И. Серов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334" w:type="dxa"/>
            <w:vMerge w:val="restart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vMerge w:val="restart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shd w:val="clear" w:color="FFFFFF" w:fill="auto"/>
            <w:textDirection w:val="lrTb"/>
            <w:vAlign w:val="top"/>
            <w:tcBorders>
              <w:top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334" w:type="dxa"/>
            <w:vMerge w:val="continue"/>
            <w:gridSpan w:val="2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Руководитель финансово- экономической службы</w:t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vMerge w:val="continue"/>
            <w:shd w:val="clear" w:color="FFFFFF" w:fill="auto"/>
            <w:textDirection w:val="lrTb"/>
            <w:vAlign w:val="bottom"/>
          </w:tcPr>
          <w:p>
            <w:pPr>
              <w:wordWrap w:val="1"/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1667" w:type="dxa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946" w:type="dxa"/>
            <w:gridSpan w:val="4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240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>Главный бухгалтер</w:t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  <w:tcBorders>
              <w:bottom w:val="none" w:sz="5" w:space="0" w:color="auto"/>
            </w:tcBorders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b/>
                <w:sz w:val="18"/>
                <w:szCs w:val="18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8"/>
                <w:szCs w:val="18"/>
              </w:rPr>
              <w:t>Е.И. Гасова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(подпись)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top"/>
            <w:tcBorders>
              <w:top w:val="singl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>(расшифровка подписи)</w:t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31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top"/>
            <w:tcBorders>
              <w:left w:val="none" w:sz="0" w:space="0" w:color="auto"/>
            </w:tcBorders>
          </w:tcPr>
          <w:p>
            <w:pPr>
              <w:wordWrap w:val="1"/>
              <w:jc w:val="center"/>
            </w:pPr>
            <w:r>
              <w:rPr>
                <w:rFonts w:ascii="Arial" w:hAnsi="Arial"/>
                <w:sz w:val="16"/>
                <w:szCs w:val="16"/>
              </w:rPr>
              <w:t>1 октября 2018 г.</w:t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/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  <w:tr>
        <w:trPr>
          <w:trHeight w:val="225" w:hRule="atLeast"/>
        </w:trPr>
        <w:tc>
          <w:tcPr>
            <w:tcW w:w="1680" w:type="dxa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  <w:tc>
          <w:tcPr>
            <w:tcW w:w="315" w:type="dxa"/>
            <w:shd w:val="clear" w:color="FFFFFF" w:fill="auto"/>
            <w:textDirection w:val="lrTb"/>
            <w:vAlign w:val="top"/>
            <w:tcBorders>
              <w:top w:val="none" w:sz="5" w:space="0" w:color="auto"/>
            </w:tcBorders>
          </w:tcPr>
          <w:p>
            <w:pPr>
              <w:jc w:val="center"/>
            </w:pPr>
            <w:r>
              <w:rPr>
                <w:rFonts w:ascii="Arial" w:hAnsi="Arial"/>
                <w:sz w:val="14"/>
                <w:szCs w:val="14"/>
              </w:rPr>
              <w:t/>
            </w:r>
          </w:p>
        </w:tc>
        <w:tc>
          <w:tcPr>
            <w:tcW w:w="1365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4845" w:type="dxa"/>
            <w:gridSpan w:val="10"/>
            <w:shd w:val="clear" w:color="FFFFFF" w:fill="auto"/>
            <w:textDirection w:val="lrTb"/>
            <w:vAlign w:val="bottom"/>
          </w:tcPr>
          <w:p>
            <w:pPr>
              <w:jc w:val="left"/>
            </w:pPr>
            <w:r>
              <w:rPr>
                <w:rFonts w:ascii="Arial" w:hAnsi="Arial"/>
                <w:sz w:val="16"/>
                <w:szCs w:val="16"/>
              </w:rPr>
              <w:t> </w:t>
            </w:r>
          </w:p>
        </w:tc>
      </w:tr>
      <w:tr>
        <w:trPr>
          <w:trHeight w:val="225" w:hRule="atLeast"/>
        </w:trPr>
        <w:tc>
          <w:tcPr>
            <w:tcW w:w="3360" w:type="dxa"/>
            <w:gridSpan w:val="3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12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2204" w:type="dxa"/>
            <w:gridSpan w:val="6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564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  <w:tc>
          <w:tcPr>
            <w:tcW w:w="1667" w:type="dxa"/>
            <w:shd w:val="clear" w:color="FFFFFF" w:fill="auto"/>
            <w:textDirection w:val="lrTb"/>
            <w:vAlign w:val="bottom"/>
          </w:tcPr>
          <w:p>
            <w:pPr/>
            <w:r>
              <w:rPr>
                <w:rFonts w:ascii="Arial" w:hAnsi="Arial"/>
                <w:sz w:val="16"/>
                <w:szCs w:val="16"/>
              </w:rPr>
            </w:r>
          </w:p>
        </w:tc>
      </w:tr>
    </w:tbl>
    <w:sectPr>
      <w:headerReference w:type="default" r:id="rId8"/>
      <w:headerReference w:type="first" r:id="rId10"/>
      <w:pgSz w:w="16839" w:h="11907" w:orient="landscape"/>
      <w:pgMar w:top="567" w:right="567" w:bottom="567" w:left="567"/>
      <w:titlePg/>
    </w:sectPr>
  </w:body>
</w:document>
</file>

<file path=word/header1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  <w:sdtContent>
      <w:p>
        <w:pPr>
          <w:pStyle w:val="a4"/>
        </w:pPr>
        <w:r>
          <w:tab/>
        </w:r>
        <w:r>
          <w:ptab w:alignment="right" w:relativeTo="margin" w:leader="none"/>
        </w:r>
        <w:r>
          <w:rPr>
            <w:rFonts w:ascii="Arial" w:hAnsi="Arial"/>
            <w:sz w:val="14"/>
          </w:rPr>
          <w:t>Форма 0503127, с. </w:t>
        </w:r>
        <w:r>
          <w:rPr>
            <w:rFonts w:ascii="Arial" w:hAnsi="Arial"/>
            <w:sz w:val="14"/>
          </w:rPr>
          <w:fldChar w:fldCharType="begin"/>
        </w:r>
        <w:r>
          <w:rPr>
            <w:rFonts w:ascii="Arial" w:hAnsi="Arial"/>
            <w:sz w:val="14"/>
          </w:rPr>
          <w:instrText> PAGE   \* MERGEFORMAT </w:instrText>
        </w:r>
        <w:r>
          <w:rPr>
            <w:rFonts w:ascii="Arial" w:hAnsi="Arial"/>
            <w:sz w:val="14"/>
          </w:rPr>
          <w:fldChar w:fldCharType="separate"/>
        </w:r>
        <w:r>
          <w:rPr>
            <w:rFonts w:ascii="Arial" w:hAnsi="Arial"/>
            <w:sz w:val="14"/>
          </w:rPr>
          <w:fldChar w:fldCharType="end"/>
        </w:r>
      </w:p>
    </w:sdtContent>
  </w:sdt>
  <w:p>
    <w:pPr>
      <w:pStyle w:val="a4"/>
    </w:pPr>
  </w:p>
</w:hdr>
</file>

<file path=word/header2.xml><?xml version="1.0" encoding="utf-8"?>
<w:hdr xmlns:m="http://schemas.openxmlformats.org/officeDocument/2006/math" xmlns:mc="http://schemas.openxmlformats.org/markup-compatibility/2006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>
  <w:sdt>
    <w:sdtPr>
      <w:docPartObj>
        <w:docPartGallery w:val="Page Numbers (Top of Page)"/>
      </w:docPartObj>
    </w:sdtPr>
  </w:sdt>
  <w:p>
    <w:pPr>
      <w:pStyle w:val="a4"/>
    </w:pPr>
  </w:p>
</w:hdr>
</file>

<file path=word/settings.xml><?xml version="1.0" encoding="utf-8"?>
<w:settings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view w:val="web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style w:type="table" w:styleId="TableStyle0">
    <w:name w:val="TableStyle0"/>
    <w:pPr>
      <w:spacing w:after="0" w:line="240" w:lineRule="auto"/>
    </w:pPr>
    <w:rPr>
      <w:rFonts w:ascii="Arial" w:hAnsi="Arial"/>
      <w:sz w:val="16"/>
    </w:rPr>
  </w:style>
  <w:style w:type="paragraph" w:styleId="rId8">
    <w:name w:val="header"/>
  </w:style>
  <w:style w:type="paragraph" w:styleId="rId10">
    <w:name w:val="header"/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settings" Target="settings.xml"/>
	<Relationship Id="rId8" Type="http://schemas.openxmlformats.org/officeDocument/2006/relationships/header" Target="header1.xml"/>
	<Relationship Id="rId9" Type="http://schemas.openxmlformats.org/officeDocument/2006/relationships/footer" Target="footer1.xml"/>
	<Relationship Id="rId10" Type="http://schemas.openxmlformats.org/officeDocument/2006/relationships/header" Target="header2.xml"/>
	<Relationship Id="rId11" Type="http://schemas.openxmlformats.org/officeDocument/2006/relationships/footer" Target="footer2.xml"/>
</Relationships>
</file>