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D6E" w:rsidRPr="00847D6E" w:rsidRDefault="00847D6E" w:rsidP="00847D6E">
      <w:pPr>
        <w:keepNext/>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847D6E">
        <w:rPr>
          <w:rFonts w:ascii="Arial" w:eastAsia="Times New Roman" w:hAnsi="Arial" w:cs="Arial"/>
          <w:b/>
          <w:bCs/>
          <w:caps/>
          <w:sz w:val="32"/>
          <w:szCs w:val="32"/>
          <w:lang w:eastAsia="ru-RU"/>
        </w:rPr>
        <w:t>Совет депутатов Большеманадышского сельского поселения Атяшевского муниципального района Республики Мордовия</w:t>
      </w:r>
    </w:p>
    <w:p w:rsidR="00847D6E" w:rsidRPr="00847D6E" w:rsidRDefault="00847D6E" w:rsidP="00847D6E">
      <w:pPr>
        <w:spacing w:before="150" w:after="280" w:line="360" w:lineRule="auto"/>
        <w:ind w:left="150" w:right="150"/>
        <w:rPr>
          <w:rFonts w:ascii="Times New Roman" w:eastAsia="Times New Roman" w:hAnsi="Times New Roman" w:cs="Times New Roman"/>
          <w:lang w:eastAsia="ru-RU"/>
        </w:rPr>
      </w:pPr>
      <w:r w:rsidRPr="00847D6E">
        <w:rPr>
          <w:rFonts w:ascii="Arial" w:eastAsia="Times New Roman" w:hAnsi="Arial" w:cs="Arial"/>
          <w:color w:val="516062"/>
          <w:lang w:eastAsia="ru-RU"/>
        </w:rPr>
        <w:t> </w:t>
      </w:r>
    </w:p>
    <w:p w:rsidR="00847D6E" w:rsidRPr="00847D6E" w:rsidRDefault="00847D6E" w:rsidP="00847D6E">
      <w:pPr>
        <w:keepNext/>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847D6E">
        <w:rPr>
          <w:rFonts w:ascii="Arial" w:eastAsia="Times New Roman" w:hAnsi="Arial" w:cs="Arial"/>
          <w:b/>
          <w:bCs/>
          <w:caps/>
          <w:sz w:val="28"/>
          <w:szCs w:val="28"/>
          <w:lang w:eastAsia="ru-RU"/>
        </w:rPr>
        <w:t> </w:t>
      </w:r>
      <w:r w:rsidRPr="00847D6E">
        <w:rPr>
          <w:rFonts w:ascii="Arial" w:eastAsia="Times New Roman" w:hAnsi="Arial" w:cs="Arial"/>
          <w:b/>
          <w:bCs/>
          <w:caps/>
          <w:sz w:val="32"/>
          <w:szCs w:val="32"/>
          <w:lang w:eastAsia="ru-RU"/>
        </w:rPr>
        <w:t>РЕШЕНИЕ</w:t>
      </w: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847D6E">
        <w:rPr>
          <w:rFonts w:ascii="Arial" w:eastAsia="Times New Roman" w:hAnsi="Arial" w:cs="Arial"/>
          <w:b/>
          <w:bCs/>
          <w:sz w:val="28"/>
          <w:szCs w:val="28"/>
          <w:lang w:eastAsia="ru-RU"/>
        </w:rPr>
        <w:t> </w:t>
      </w:r>
      <w:r w:rsidRPr="00847D6E">
        <w:rPr>
          <w:rFonts w:ascii="Arial" w:eastAsia="Times New Roman" w:hAnsi="Arial" w:cs="Arial"/>
          <w:b/>
          <w:bCs/>
          <w:sz w:val="32"/>
          <w:szCs w:val="32"/>
          <w:lang w:eastAsia="ru-RU"/>
        </w:rPr>
        <w:t>от 15.02.2011 г.    № 125</w:t>
      </w: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847D6E">
        <w:rPr>
          <w:rFonts w:ascii="Arial" w:eastAsia="Times New Roman" w:hAnsi="Arial" w:cs="Arial"/>
          <w:b/>
          <w:bCs/>
          <w:sz w:val="32"/>
          <w:szCs w:val="32"/>
          <w:lang w:eastAsia="ru-RU"/>
        </w:rPr>
        <w:t> </w:t>
      </w:r>
    </w:p>
    <w:p w:rsidR="00847D6E" w:rsidRPr="00847D6E" w:rsidRDefault="00847D6E" w:rsidP="00847D6E">
      <w:pPr>
        <w:spacing w:after="0" w:line="240" w:lineRule="auto"/>
        <w:jc w:val="both"/>
        <w:rPr>
          <w:rFonts w:ascii="Times New Roman" w:eastAsia="Times New Roman" w:hAnsi="Times New Roman" w:cs="Times New Roman"/>
          <w:lang w:eastAsia="ru-RU"/>
        </w:rPr>
      </w:pPr>
      <w:r w:rsidRPr="00847D6E">
        <w:rPr>
          <w:rFonts w:ascii="Arial" w:eastAsia="Times New Roman" w:hAnsi="Arial" w:cs="Arial"/>
          <w:lang w:eastAsia="ru-RU"/>
        </w:rPr>
        <w:t> </w:t>
      </w:r>
    </w:p>
    <w:p w:rsidR="00847D6E" w:rsidRPr="00847D6E" w:rsidRDefault="00847D6E" w:rsidP="00847D6E">
      <w:pPr>
        <w:keepNext/>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847D6E">
        <w:rPr>
          <w:rFonts w:ascii="Arial" w:eastAsia="Times New Roman" w:hAnsi="Arial" w:cs="Arial"/>
          <w:b/>
          <w:bCs/>
          <w:caps/>
          <w:sz w:val="32"/>
          <w:szCs w:val="32"/>
          <w:lang w:eastAsia="ru-RU"/>
        </w:rPr>
        <w:t>Об утверждении Генерального плана Большеманадышского сельского поселения Атяшевского муниципального района Республики Мордовия</w:t>
      </w:r>
    </w:p>
    <w:p w:rsidR="00847D6E" w:rsidRPr="00847D6E" w:rsidRDefault="00847D6E" w:rsidP="00847D6E">
      <w:pPr>
        <w:spacing w:after="0" w:line="240" w:lineRule="auto"/>
        <w:jc w:val="center"/>
        <w:rPr>
          <w:rFonts w:ascii="Times New Roman" w:eastAsia="Times New Roman" w:hAnsi="Times New Roman" w:cs="Times New Roman"/>
          <w:sz w:val="26"/>
          <w:szCs w:val="26"/>
          <w:lang w:eastAsia="ru-RU"/>
        </w:rPr>
      </w:pPr>
      <w:r w:rsidRPr="00847D6E">
        <w:rPr>
          <w:rFonts w:ascii="Arial" w:eastAsia="Times New Roman" w:hAnsi="Arial" w:cs="Arial"/>
          <w:b/>
          <w:bCs/>
          <w:sz w:val="26"/>
          <w:szCs w:val="26"/>
          <w:lang w:eastAsia="ru-RU"/>
        </w:rPr>
        <w:t> </w:t>
      </w:r>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47D6E">
        <w:rPr>
          <w:rFonts w:ascii="Arial" w:eastAsia="Times New Roman" w:hAnsi="Arial" w:cs="Arial"/>
          <w:sz w:val="26"/>
          <w:szCs w:val="26"/>
          <w:lang w:eastAsia="ru-RU"/>
        </w:rPr>
        <w:t> </w:t>
      </w:r>
      <w:r w:rsidRPr="00847D6E">
        <w:rPr>
          <w:rFonts w:ascii="Arial" w:eastAsia="Times New Roman" w:hAnsi="Arial" w:cs="Arial"/>
          <w:sz w:val="24"/>
          <w:szCs w:val="24"/>
          <w:lang w:eastAsia="ru-RU"/>
        </w:rPr>
        <w:t xml:space="preserve">В соответствии с пунктом 13 статьи 24 </w:t>
      </w:r>
      <w:hyperlink r:id="rId4" w:history="1">
        <w:r w:rsidRPr="00847D6E">
          <w:rPr>
            <w:rFonts w:ascii="Arial" w:eastAsia="Times New Roman" w:hAnsi="Arial" w:cs="Arial"/>
            <w:color w:val="0000FF"/>
            <w:sz w:val="24"/>
            <w:szCs w:val="24"/>
            <w:u w:val="single"/>
            <w:lang w:eastAsia="ru-RU"/>
          </w:rPr>
          <w:t>Градостроительного кодекса Российской Федерации</w:t>
        </w:r>
      </w:hyperlink>
      <w:r w:rsidRPr="00847D6E">
        <w:rPr>
          <w:rFonts w:ascii="Arial" w:eastAsia="Times New Roman" w:hAnsi="Arial" w:cs="Arial"/>
          <w:sz w:val="24"/>
          <w:szCs w:val="24"/>
          <w:lang w:eastAsia="ru-RU"/>
        </w:rPr>
        <w:t xml:space="preserve"> Совет депутатов Большеманадышского сельского поселения р е ш и 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 Утвердить прилагаемый Генеральный план Большеманадышского сельского поселения Атяшевского муниципального района Республики Мордовия.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2. Направить Генеральный план Большеманадышского сельского поселения Атяшевского муниципального района Республики Мордовия в течение трех дней со дня его утверждения в Правительство Республики Мордовия.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3. Направить Генеральный план Большеманадышского сельского поселения Атяшевского муниципального района Республики Мордовия в течение трех дней со дня его утверждения Главе Администрации Атяшевского муниципального района.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4. Администрации Большеманадышского сельского поселения в трехмесячный срок со дня принятия настоящего решения обеспечить разработку и утверждение плана реализации Генерального плана Большеманадышского сельского поселения Атяшевского муниципального района Республики Мордовия.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5. Настоящее решение вступает в силу со дня его официального опубликования.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47D6E">
        <w:rPr>
          <w:rFonts w:ascii="Arial" w:eastAsia="Times New Roman" w:hAnsi="Arial" w:cs="Arial"/>
          <w:sz w:val="24"/>
          <w:szCs w:val="24"/>
          <w:lang w:eastAsia="ru-RU"/>
        </w:rPr>
        <w:lastRenderedPageBreak/>
        <w:t> </w:t>
      </w:r>
    </w:p>
    <w:p w:rsidR="00847D6E" w:rsidRPr="00847D6E" w:rsidRDefault="00847D6E" w:rsidP="00847D6E">
      <w:pPr>
        <w:keepNext/>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47D6E">
        <w:rPr>
          <w:rFonts w:ascii="Arial" w:eastAsia="Times New Roman" w:hAnsi="Arial" w:cs="Arial"/>
          <w:sz w:val="24"/>
          <w:szCs w:val="24"/>
          <w:lang w:eastAsia="ru-RU"/>
        </w:rPr>
        <w:t> Глава</w:t>
      </w:r>
    </w:p>
    <w:p w:rsidR="00847D6E" w:rsidRPr="00847D6E" w:rsidRDefault="00847D6E" w:rsidP="00847D6E">
      <w:pPr>
        <w:keepNext/>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47D6E">
        <w:rPr>
          <w:rFonts w:ascii="Arial" w:eastAsia="Times New Roman" w:hAnsi="Arial" w:cs="Arial"/>
          <w:sz w:val="24"/>
          <w:szCs w:val="24"/>
          <w:lang w:eastAsia="ru-RU"/>
        </w:rPr>
        <w:t>Большеманадышского</w:t>
      </w:r>
    </w:p>
    <w:p w:rsidR="00847D6E" w:rsidRPr="00847D6E" w:rsidRDefault="00847D6E" w:rsidP="00847D6E">
      <w:pPr>
        <w:keepNext/>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47D6E">
        <w:rPr>
          <w:rFonts w:ascii="Arial" w:eastAsia="Times New Roman" w:hAnsi="Arial" w:cs="Arial"/>
          <w:sz w:val="24"/>
          <w:szCs w:val="24"/>
          <w:lang w:eastAsia="ru-RU"/>
        </w:rPr>
        <w:t>                                           сельского  поселения</w:t>
      </w:r>
    </w:p>
    <w:p w:rsidR="00847D6E" w:rsidRPr="00847D6E" w:rsidRDefault="00847D6E" w:rsidP="00847D6E">
      <w:pPr>
        <w:keepNext/>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47D6E">
        <w:rPr>
          <w:rFonts w:ascii="Arial" w:eastAsia="Times New Roman" w:hAnsi="Arial" w:cs="Arial"/>
          <w:sz w:val="24"/>
          <w:szCs w:val="24"/>
          <w:lang w:eastAsia="ru-RU"/>
        </w:rPr>
        <w:t>Л.Е.Федорова</w:t>
      </w:r>
    </w:p>
    <w:p w:rsidR="00847D6E" w:rsidRPr="00847D6E" w:rsidRDefault="00847D6E" w:rsidP="00847D6E">
      <w:pPr>
        <w:spacing w:after="0" w:line="240" w:lineRule="auto"/>
        <w:rPr>
          <w:rFonts w:ascii="Times New Roman" w:eastAsia="Times New Roman" w:hAnsi="Times New Roman" w:cs="Times New Roman"/>
          <w:sz w:val="20"/>
          <w:szCs w:val="20"/>
          <w:lang w:eastAsia="ru-RU"/>
        </w:rPr>
      </w:pPr>
      <w:r w:rsidRPr="00847D6E">
        <w:rPr>
          <w:rFonts w:ascii="Arial" w:eastAsia="Times New Roman" w:hAnsi="Arial" w:cs="Arial"/>
          <w:sz w:val="20"/>
          <w:szCs w:val="20"/>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p w:rsidR="00847D6E" w:rsidRPr="00847D6E" w:rsidRDefault="00847D6E" w:rsidP="00847D6E">
      <w:pPr>
        <w:keepNext/>
        <w:shd w:val="clear" w:color="auto" w:fill="FFFFFF"/>
        <w:spacing w:before="240" w:after="60" w:line="240" w:lineRule="auto"/>
        <w:ind w:firstLine="709"/>
        <w:jc w:val="center"/>
        <w:outlineLvl w:val="1"/>
        <w:rPr>
          <w:rFonts w:ascii="Times New Roman" w:eastAsia="Times New Roman" w:hAnsi="Times New Roman" w:cs="Times New Roman"/>
          <w:b/>
          <w:bCs/>
          <w:sz w:val="32"/>
          <w:szCs w:val="32"/>
          <w:lang w:eastAsia="ru-RU"/>
        </w:rPr>
      </w:pPr>
      <w:r w:rsidRPr="00847D6E">
        <w:rPr>
          <w:rFonts w:ascii="Arial" w:eastAsia="Times New Roman" w:hAnsi="Arial" w:cs="Arial"/>
          <w:b/>
          <w:bCs/>
          <w:caps/>
          <w:sz w:val="32"/>
          <w:szCs w:val="32"/>
          <w:lang w:eastAsia="ru-RU"/>
        </w:rPr>
        <w:t>ГЕНЕРАЛЬНЫЙ ПЛАН БОЛЬШЕМАНАДЫШСКОГО СЕЛЬСКОГО ПОСЕЛЕНИЯ АТЯШЕВСКОГО МУНИЦИПАЛЬНОГО РАЙОНА РЕСПУБЛИКИ МОРДОВИЯ</w:t>
      </w:r>
    </w:p>
    <w:p w:rsidR="00847D6E" w:rsidRPr="00847D6E" w:rsidRDefault="00847D6E" w:rsidP="00847D6E">
      <w:pPr>
        <w:keepNext/>
        <w:spacing w:after="0" w:line="240" w:lineRule="auto"/>
        <w:ind w:firstLine="567"/>
        <w:jc w:val="center"/>
        <w:outlineLvl w:val="0"/>
        <w:rPr>
          <w:rFonts w:ascii="Times New Roman" w:eastAsia="Times New Roman" w:hAnsi="Times New Roman" w:cs="Times New Roman"/>
          <w:b/>
          <w:bCs/>
          <w:kern w:val="36"/>
          <w:sz w:val="24"/>
          <w:szCs w:val="24"/>
          <w:lang w:eastAsia="ru-RU"/>
        </w:rPr>
      </w:pPr>
      <w:r w:rsidRPr="00847D6E">
        <w:rPr>
          <w:rFonts w:ascii="Arial" w:eastAsia="Times New Roman" w:hAnsi="Arial" w:cs="Arial"/>
          <w:b/>
          <w:bCs/>
          <w:i/>
          <w:iCs/>
          <w:kern w:val="36"/>
          <w:sz w:val="24"/>
          <w:szCs w:val="24"/>
          <w:lang w:eastAsia="ru-RU"/>
        </w:rPr>
        <w:t> </w:t>
      </w:r>
    </w:p>
    <w:p w:rsidR="00847D6E" w:rsidRPr="00847D6E" w:rsidRDefault="00847D6E" w:rsidP="00847D6E">
      <w:pPr>
        <w:keepNext/>
        <w:spacing w:after="0" w:line="240" w:lineRule="auto"/>
        <w:ind w:firstLine="567"/>
        <w:jc w:val="center"/>
        <w:outlineLvl w:val="0"/>
        <w:rPr>
          <w:rFonts w:ascii="Times New Roman" w:eastAsia="Times New Roman" w:hAnsi="Times New Roman" w:cs="Times New Roman"/>
          <w:b/>
          <w:bCs/>
          <w:kern w:val="36"/>
          <w:sz w:val="24"/>
          <w:szCs w:val="24"/>
          <w:lang w:eastAsia="ru-RU"/>
        </w:rPr>
      </w:pPr>
      <w:r w:rsidRPr="00847D6E">
        <w:rPr>
          <w:rFonts w:ascii="Arial" w:eastAsia="Times New Roman" w:hAnsi="Arial" w:cs="Arial"/>
          <w:b/>
          <w:bCs/>
          <w:i/>
          <w:iCs/>
          <w:kern w:val="36"/>
          <w:sz w:val="24"/>
          <w:szCs w:val="24"/>
          <w:lang w:eastAsia="ru-RU"/>
        </w:rPr>
        <w:t> </w:t>
      </w:r>
    </w:p>
    <w:p w:rsidR="00847D6E" w:rsidRPr="00847D6E" w:rsidRDefault="00847D6E" w:rsidP="00847D6E">
      <w:pPr>
        <w:keepNext/>
        <w:spacing w:after="0" w:line="240" w:lineRule="auto"/>
        <w:ind w:firstLine="567"/>
        <w:jc w:val="center"/>
        <w:outlineLvl w:val="0"/>
        <w:rPr>
          <w:rFonts w:ascii="Times New Roman" w:eastAsia="Times New Roman" w:hAnsi="Times New Roman" w:cs="Times New Roman"/>
          <w:b/>
          <w:bCs/>
          <w:kern w:val="36"/>
          <w:sz w:val="24"/>
          <w:szCs w:val="24"/>
          <w:lang w:eastAsia="ru-RU"/>
        </w:rPr>
      </w:pPr>
      <w:r w:rsidRPr="00847D6E">
        <w:rPr>
          <w:rFonts w:ascii="Arial" w:eastAsia="Times New Roman" w:hAnsi="Arial" w:cs="Arial"/>
          <w:b/>
          <w:bCs/>
          <w:i/>
          <w:iCs/>
          <w:kern w:val="36"/>
          <w:sz w:val="24"/>
          <w:szCs w:val="24"/>
          <w:lang w:eastAsia="ru-RU"/>
        </w:rPr>
        <w:t> </w:t>
      </w: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847D6E">
        <w:rPr>
          <w:rFonts w:ascii="Arial" w:eastAsia="Times New Roman" w:hAnsi="Arial" w:cs="Arial"/>
          <w:b/>
          <w:bCs/>
          <w:sz w:val="32"/>
          <w:szCs w:val="32"/>
          <w:lang w:eastAsia="ru-RU"/>
        </w:rPr>
        <w:t>1.Введение</w:t>
      </w:r>
    </w:p>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Основанием для проведения работ по разработке генерального плана территории  Большеманадышского сельского поселения Атяшевского муниципального района Республики Мордовия  является  Постановление Правительства Российской Федерации от 13 ноября 2006 г. № 680 «</w:t>
      </w:r>
      <w:hyperlink r:id="rId5" w:history="1">
        <w:r w:rsidRPr="00847D6E">
          <w:rPr>
            <w:rFonts w:ascii="Arial" w:eastAsia="Times New Roman" w:hAnsi="Arial" w:cs="Arial"/>
            <w:color w:val="0000FF"/>
            <w:sz w:val="24"/>
            <w:szCs w:val="24"/>
            <w:u w:val="single"/>
            <w:lang w:eastAsia="ru-RU"/>
          </w:rPr>
          <w:t>О составе схем территориального планирования Российской Федерации</w:t>
        </w:r>
      </w:hyperlink>
      <w:r w:rsidRPr="00847D6E">
        <w:rPr>
          <w:rFonts w:ascii="Arial" w:eastAsia="Times New Roman" w:hAnsi="Arial" w:cs="Arial"/>
          <w:sz w:val="24"/>
          <w:szCs w:val="24"/>
          <w:lang w:eastAsia="ru-RU"/>
        </w:rPr>
        <w:t>»,  Постановление Правительства Республики Мордовия от 29 декабря 2007 года № 606 «</w:t>
      </w:r>
      <w:hyperlink r:id="rId6" w:history="1">
        <w:r w:rsidRPr="00847D6E">
          <w:rPr>
            <w:rFonts w:ascii="Arial" w:eastAsia="Times New Roman" w:hAnsi="Arial" w:cs="Arial"/>
            <w:color w:val="0000FF"/>
            <w:sz w:val="24"/>
            <w:szCs w:val="24"/>
            <w:u w:val="single"/>
            <w:lang w:eastAsia="ru-RU"/>
          </w:rPr>
          <w:t>Об утверждении положения о документах территориального планирования муниципальных образований в Республике Мордовия</w:t>
        </w:r>
      </w:hyperlink>
      <w:r w:rsidRPr="00847D6E">
        <w:rPr>
          <w:rFonts w:ascii="Arial" w:eastAsia="Times New Roman" w:hAnsi="Arial" w:cs="Arial"/>
          <w:sz w:val="24"/>
          <w:szCs w:val="24"/>
          <w:lang w:eastAsia="ru-RU"/>
        </w:rPr>
        <w:t>» и Постановление Правительства Республики Мордовия от 24 марта 2008 года № 103 «</w:t>
      </w:r>
      <w:hyperlink r:id="rId7" w:history="1">
        <w:r w:rsidRPr="00847D6E">
          <w:rPr>
            <w:rFonts w:ascii="Arial" w:eastAsia="Times New Roman" w:hAnsi="Arial" w:cs="Arial"/>
            <w:color w:val="0000FF"/>
            <w:sz w:val="24"/>
            <w:szCs w:val="24"/>
            <w:u w:val="single"/>
            <w:lang w:eastAsia="ru-RU"/>
          </w:rPr>
          <w:t>О внесении изменения в Положение о документах территориального планирования муниципальных образований в Республике Мордовия</w:t>
        </w:r>
      </w:hyperlink>
      <w:r w:rsidRPr="00847D6E">
        <w:rPr>
          <w:rFonts w:ascii="Arial" w:eastAsia="Times New Roman" w:hAnsi="Arial" w:cs="Arial"/>
          <w:sz w:val="24"/>
          <w:szCs w:val="24"/>
          <w:lang w:eastAsia="ru-RU"/>
        </w:rPr>
        <w:t>».</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Заказчиком работ на проведение работ является администрация Большеманадышского сельского поселения Атяшевского муниципального района Республики Мордовия, исполнитель ООО «Гипрозем» Чувашская республика г. Чебоксары (муниципальный контракт № 29 от 07.07.2009г.).</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Основными нормативными правовыми документами, регулирующими проведение указанных работ, являются: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w:t>
      </w:r>
      <w:hyperlink r:id="rId8" w:history="1">
        <w:r w:rsidRPr="00847D6E">
          <w:rPr>
            <w:rFonts w:ascii="Arial" w:eastAsia="Times New Roman" w:hAnsi="Arial" w:cs="Arial"/>
            <w:color w:val="0000FF"/>
            <w:sz w:val="24"/>
            <w:szCs w:val="24"/>
            <w:u w:val="single"/>
            <w:lang w:eastAsia="ru-RU"/>
          </w:rPr>
          <w:t>Градостроительный кодекс Российской Федерации</w:t>
        </w:r>
      </w:hyperlink>
      <w:r w:rsidRPr="00847D6E">
        <w:rPr>
          <w:rFonts w:ascii="Arial" w:eastAsia="Times New Roman" w:hAnsi="Arial" w:cs="Arial"/>
          <w:sz w:val="24"/>
          <w:szCs w:val="24"/>
          <w:lang w:eastAsia="ru-RU"/>
        </w:rPr>
        <w:t xml:space="preserve"> от 29.12.2004 года №190-ФЗ;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·Федеральный закон «</w:t>
      </w:r>
      <w:hyperlink r:id="rId9" w:history="1">
        <w:r w:rsidRPr="00847D6E">
          <w:rPr>
            <w:rFonts w:ascii="Arial" w:eastAsia="Times New Roman" w:hAnsi="Arial" w:cs="Arial"/>
            <w:color w:val="0000FF"/>
            <w:sz w:val="24"/>
            <w:szCs w:val="24"/>
            <w:u w:val="single"/>
            <w:lang w:eastAsia="ru-RU"/>
          </w:rPr>
          <w:t>О введении в действие градостроительного кодекса Российской Федерации</w:t>
        </w:r>
      </w:hyperlink>
      <w:r w:rsidRPr="00847D6E">
        <w:rPr>
          <w:rFonts w:ascii="Arial" w:eastAsia="Times New Roman" w:hAnsi="Arial" w:cs="Arial"/>
          <w:sz w:val="24"/>
          <w:szCs w:val="24"/>
          <w:lang w:eastAsia="ru-RU"/>
        </w:rPr>
        <w:t>» от 29.12.2004г № 191-ФЗ.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w:t>
      </w:r>
      <w:hyperlink r:id="rId10" w:history="1">
        <w:r w:rsidRPr="00847D6E">
          <w:rPr>
            <w:rFonts w:ascii="Arial" w:eastAsia="Times New Roman" w:hAnsi="Arial" w:cs="Arial"/>
            <w:color w:val="0000FF"/>
            <w:sz w:val="24"/>
            <w:szCs w:val="24"/>
            <w:u w:val="single"/>
            <w:lang w:eastAsia="ru-RU"/>
          </w:rPr>
          <w:t>Земельный кодекс Российской Федерации</w:t>
        </w:r>
      </w:hyperlink>
      <w:r w:rsidRPr="00847D6E">
        <w:rPr>
          <w:rFonts w:ascii="Arial" w:eastAsia="Times New Roman" w:hAnsi="Arial" w:cs="Arial"/>
          <w:sz w:val="24"/>
          <w:szCs w:val="24"/>
          <w:lang w:eastAsia="ru-RU"/>
        </w:rPr>
        <w:t>  от  25.10.2001г № 136-ФЗ.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w:t>
      </w:r>
      <w:hyperlink r:id="rId11" w:history="1">
        <w:r w:rsidRPr="00847D6E">
          <w:rPr>
            <w:rFonts w:ascii="Arial" w:eastAsia="Times New Roman" w:hAnsi="Arial" w:cs="Arial"/>
            <w:color w:val="0000FF"/>
            <w:sz w:val="24"/>
            <w:szCs w:val="24"/>
            <w:u w:val="single"/>
            <w:lang w:eastAsia="ru-RU"/>
          </w:rPr>
          <w:t>Водный кодекс Российской Федерации</w:t>
        </w:r>
      </w:hyperlink>
      <w:r w:rsidRPr="00847D6E">
        <w:rPr>
          <w:rFonts w:ascii="Arial" w:eastAsia="Times New Roman" w:hAnsi="Arial" w:cs="Arial"/>
          <w:sz w:val="24"/>
          <w:szCs w:val="24"/>
          <w:lang w:eastAsia="ru-RU"/>
        </w:rPr>
        <w:t xml:space="preserve"> от 03.06.2006 года  №74-ФЗ.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·Федеральный закон «</w:t>
      </w:r>
      <w:hyperlink r:id="rId12" w:history="1">
        <w:r w:rsidRPr="00847D6E">
          <w:rPr>
            <w:rFonts w:ascii="Arial" w:eastAsia="Times New Roman" w:hAnsi="Arial" w:cs="Arial"/>
            <w:color w:val="0000FF"/>
            <w:sz w:val="24"/>
            <w:szCs w:val="24"/>
            <w:u w:val="single"/>
            <w:lang w:eastAsia="ru-RU"/>
          </w:rPr>
          <w:t>Об общих принципах организации местного самоуправления в Российской федерации</w:t>
        </w:r>
      </w:hyperlink>
      <w:r w:rsidRPr="00847D6E">
        <w:rPr>
          <w:rFonts w:ascii="Arial" w:eastAsia="Times New Roman" w:hAnsi="Arial" w:cs="Arial"/>
          <w:sz w:val="24"/>
          <w:szCs w:val="24"/>
          <w:lang w:eastAsia="ru-RU"/>
        </w:rPr>
        <w:t>» от 06.10.2003 года  № 131-ФЗ.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·Федеральный закон от 10.01.2002г № 7-ФЗ «</w:t>
      </w:r>
      <w:hyperlink r:id="rId13" w:history="1">
        <w:r w:rsidRPr="00847D6E">
          <w:rPr>
            <w:rFonts w:ascii="Arial" w:eastAsia="Times New Roman" w:hAnsi="Arial" w:cs="Arial"/>
            <w:color w:val="0000FF"/>
            <w:sz w:val="24"/>
            <w:szCs w:val="24"/>
            <w:u w:val="single"/>
            <w:lang w:eastAsia="ru-RU"/>
          </w:rPr>
          <w:t>Об охране окружающей среды</w:t>
        </w:r>
      </w:hyperlink>
      <w:r w:rsidRPr="00847D6E">
        <w:rPr>
          <w:rFonts w:ascii="Arial" w:eastAsia="Times New Roman" w:hAnsi="Arial" w:cs="Arial"/>
          <w:sz w:val="24"/>
          <w:szCs w:val="24"/>
          <w:lang w:eastAsia="ru-RU"/>
        </w:rPr>
        <w:t>».</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·Постановление правительства Республики Мордовия «О республиканской целевой программе «Охрана окружающей среды Республики Мордовия на период до 2010 года»» от 10 декабря 2007 г. № 61.</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·Постановление правительства Республики Мордовия «</w:t>
      </w:r>
      <w:hyperlink r:id="rId14" w:history="1">
        <w:r w:rsidRPr="00847D6E">
          <w:rPr>
            <w:rFonts w:ascii="Arial" w:eastAsia="Times New Roman" w:hAnsi="Arial" w:cs="Arial"/>
            <w:color w:val="0000FF"/>
            <w:sz w:val="24"/>
            <w:szCs w:val="24"/>
            <w:u w:val="single"/>
            <w:lang w:eastAsia="ru-RU"/>
          </w:rPr>
          <w:t>О внесении изменения в Положение о документах территориального планирования муниципальных образований в Республике Мордовия</w:t>
        </w:r>
      </w:hyperlink>
      <w:r w:rsidRPr="00847D6E">
        <w:rPr>
          <w:rFonts w:ascii="Arial" w:eastAsia="Times New Roman" w:hAnsi="Arial" w:cs="Arial"/>
          <w:sz w:val="24"/>
          <w:szCs w:val="24"/>
          <w:lang w:eastAsia="ru-RU"/>
        </w:rPr>
        <w:t>» от 24.03.2008 г. №103.</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Федеральный закон «</w:t>
      </w:r>
      <w:hyperlink r:id="rId15" w:history="1">
        <w:r w:rsidRPr="00847D6E">
          <w:rPr>
            <w:rFonts w:ascii="Arial" w:eastAsia="Times New Roman" w:hAnsi="Arial" w:cs="Arial"/>
            <w:color w:val="0000FF"/>
            <w:sz w:val="24"/>
            <w:szCs w:val="24"/>
            <w:u w:val="single"/>
            <w:lang w:eastAsia="ru-RU"/>
          </w:rPr>
          <w:t>О санитарно - эпидемиологическом благополучии населения</w:t>
        </w:r>
      </w:hyperlink>
      <w:r w:rsidRPr="00847D6E">
        <w:rPr>
          <w:rFonts w:ascii="Arial" w:eastAsia="Times New Roman" w:hAnsi="Arial" w:cs="Arial"/>
          <w:sz w:val="24"/>
          <w:szCs w:val="24"/>
          <w:lang w:eastAsia="ru-RU"/>
        </w:rPr>
        <w:t>» от 30 марта 1999г  № 52-ФЗ.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·Федеральный закон «</w:t>
      </w:r>
      <w:hyperlink r:id="rId16" w:history="1">
        <w:r w:rsidRPr="00847D6E">
          <w:rPr>
            <w:rFonts w:ascii="Arial" w:eastAsia="Times New Roman" w:hAnsi="Arial" w:cs="Arial"/>
            <w:color w:val="0000FF"/>
            <w:sz w:val="24"/>
            <w:szCs w:val="24"/>
            <w:u w:val="single"/>
            <w:lang w:eastAsia="ru-RU"/>
          </w:rPr>
          <w:t>Об объектах культурного наследия (памятниках истории и культуры) народов Российской Федерации</w:t>
        </w:r>
      </w:hyperlink>
      <w:r w:rsidRPr="00847D6E">
        <w:rPr>
          <w:rFonts w:ascii="Arial" w:eastAsia="Times New Roman" w:hAnsi="Arial" w:cs="Arial"/>
          <w:sz w:val="24"/>
          <w:szCs w:val="24"/>
          <w:lang w:eastAsia="ru-RU"/>
        </w:rPr>
        <w:t>» от 25.06.2002 г. № 73-ФЗ.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·Перечень поручений Президента  Российской Федерации от 08.04.2008 г. №Пр-582, пункт 9б.</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Цели, задачи и мероприятия генерального плана разработаны на основе Стратегии социально-экономического развития Республики Мордовия до 2025 года, республиканских и федеральных целевых программ: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pacing w:after="0" w:line="360" w:lineRule="auto"/>
        <w:jc w:val="center"/>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w:t>
      </w:r>
      <w:r w:rsidRPr="00847D6E">
        <w:rPr>
          <w:rFonts w:ascii="Arial" w:eastAsia="Times New Roman" w:hAnsi="Arial" w:cs="Arial"/>
          <w:b/>
          <w:bCs/>
          <w:sz w:val="24"/>
          <w:szCs w:val="24"/>
          <w:lang w:eastAsia="ru-RU"/>
        </w:rPr>
        <w:t>Федеральные целевые программы: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·"Культура России (2006-2010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·"Жилище" на 2002-2010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·"Социальное развитие села до 2012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Федеральная целевая программа развития образования на 2006-2010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·"Электронная Россия (2002-2010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·"Модернизация транспортной системы России (2002-2010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·"Развитие физической культуры и спорта в Российской Федерации на 2006-2015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·"Сохранение и восстановление плодородия почв земель сельскохозяйственного назначения и агроландшафтов как национального достояния России на 2006-2010 годы и на период до 2012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·"Исследование и разработки по приоритетным направлениям развития научно-технологического комплекса России на 2007-2012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Республиканские целевые программы: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·Программа социально-экономического развития Республики Мордовия на 2008-2012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·Подпрограмма "Обеспечение жильем молодых семей" на 2002-2010 годы РЦП "Жилище" на период 2002-2010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·Республиканская целевая программа "Жилище" на 2006-2010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·Региональная целевая программа "Обеспечение населения Республики Мордовия питьевой водой до 2010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·Республиканская программа "Развитие здравоохранения в Республике Мордовия на 2006-2008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·Республиканская целевая программа "Социальное развитие села до 2010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·Программа "Развитие племенного животноводства в Республике Мордовия на 2002-2010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·Республиканская целевая программа "Сохранение и восстановление плодородия почв земель сельскохозяйственного назначения и агроландшафтов как национального достояния России по Республике Мордовия на 2006-2010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·Республиканская целевая программа "Охрана окружающей среды Республики Мордовия на период до 2010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·Программа развития сельского хозяйства и регулирования рынков сельскохозяйственной продукции, сырья и продовольствия Республики Мордовия на 2008 - 2012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·Программа обеспечения экономической безопасности РМ до 2010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·Республиканская комплексная целевая программа "Формирование информационного общества в Республике Мордовия в период до 2010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·Программа "Энергосбережение в Республике Мордовия на 2006-2010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·Республиканская программа "Пожарная безопасность на 2005-2008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Работы выполнены в соответствии с требованиями нормативно технических документов: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hyperlink r:id="rId17" w:history="1">
        <w:r w:rsidRPr="00847D6E">
          <w:rPr>
            <w:rFonts w:ascii="Arial" w:eastAsia="Times New Roman" w:hAnsi="Arial" w:cs="Arial"/>
            <w:color w:val="0000FF"/>
            <w:u w:val="single"/>
            <w:lang w:eastAsia="ru-RU"/>
          </w:rPr>
          <w:t>Региональные нормативы градостроительного проектирования Республики Мордовия</w:t>
        </w:r>
      </w:hyperlink>
      <w:r w:rsidRPr="00847D6E">
        <w:rPr>
          <w:rFonts w:ascii="Arial" w:eastAsia="Times New Roman" w:hAnsi="Arial" w:cs="Arial"/>
          <w:sz w:val="24"/>
          <w:szCs w:val="24"/>
          <w:lang w:eastAsia="ru-RU"/>
        </w:rPr>
        <w:t>,  утвержденные постановлением Правительства Республики Мордовия от 29 декабря 2008 года № 612;</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w:t>
      </w:r>
      <w:hyperlink r:id="rId18" w:history="1">
        <w:r w:rsidRPr="00847D6E">
          <w:rPr>
            <w:rFonts w:ascii="Arial" w:eastAsia="Times New Roman" w:hAnsi="Arial" w:cs="Arial"/>
            <w:color w:val="0000FF"/>
            <w:u w:val="single"/>
            <w:lang w:eastAsia="ru-RU"/>
          </w:rPr>
          <w:t>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hyperlink>
      <w:r w:rsidRPr="00847D6E">
        <w:rPr>
          <w:rFonts w:ascii="Arial" w:eastAsia="Times New Roman" w:hAnsi="Arial" w:cs="Arial"/>
          <w:sz w:val="24"/>
          <w:szCs w:val="24"/>
          <w:lang w:eastAsia="ru-RU"/>
        </w:rPr>
        <w:t>. Утверждены постановлением  Правительства РФ от 24 февраля 2009 г. №160;</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·Правила охраны магистральных трубопроводов. Утверждены Постановлением Минтопэнерго РФ от 22.04.1992 года № 9;</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w:t>
      </w:r>
      <w:hyperlink r:id="rId19" w:history="1">
        <w:r w:rsidRPr="00847D6E">
          <w:rPr>
            <w:rFonts w:ascii="Arial" w:eastAsia="Times New Roman" w:hAnsi="Arial" w:cs="Arial"/>
            <w:color w:val="0000FF"/>
            <w:u w:val="single"/>
            <w:lang w:eastAsia="ru-RU"/>
          </w:rPr>
          <w:t>Правила охраны газораспределительных сетей</w:t>
        </w:r>
      </w:hyperlink>
      <w:r w:rsidRPr="00847D6E">
        <w:rPr>
          <w:rFonts w:ascii="Arial" w:eastAsia="Times New Roman" w:hAnsi="Arial" w:cs="Arial"/>
          <w:sz w:val="24"/>
          <w:szCs w:val="24"/>
          <w:lang w:eastAsia="ru-RU"/>
        </w:rPr>
        <w:t>. Утверждены Постановлением  Правительства РФ от 20.11.2000 года  № 878;</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w:t>
      </w:r>
      <w:hyperlink r:id="rId20" w:history="1">
        <w:r w:rsidRPr="00847D6E">
          <w:rPr>
            <w:rFonts w:ascii="Arial" w:eastAsia="Times New Roman" w:hAnsi="Arial" w:cs="Arial"/>
            <w:color w:val="0000FF"/>
            <w:u w:val="single"/>
            <w:lang w:eastAsia="ru-RU"/>
          </w:rPr>
          <w:t>Санитарно-защитные зоны и санитарная классификация предприятий, сооружений и иных объектов</w:t>
        </w:r>
      </w:hyperlink>
      <w:r w:rsidRPr="00847D6E">
        <w:rPr>
          <w:rFonts w:ascii="Arial" w:eastAsia="Times New Roman" w:hAnsi="Arial" w:cs="Arial"/>
          <w:sz w:val="24"/>
          <w:szCs w:val="24"/>
          <w:lang w:eastAsia="ru-RU"/>
        </w:rPr>
        <w:t>. СанПиН 2.2.1/2.1.1.1200-03. Утверждены Постановлением Главного государственного санитарного  врача  РФ от 25.09.2007 года № 74, регистрационный №10995 (с изменениями от 10.04.2008г.);</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·Санитарные правила и нормы СанПиН 2.1.4.1110-02. «</w:t>
      </w:r>
      <w:hyperlink r:id="rId21" w:history="1">
        <w:r w:rsidRPr="00847D6E">
          <w:rPr>
            <w:rFonts w:ascii="Arial" w:eastAsia="Times New Roman" w:hAnsi="Arial" w:cs="Arial"/>
            <w:color w:val="0000FF"/>
            <w:u w:val="single"/>
            <w:lang w:eastAsia="ru-RU"/>
          </w:rPr>
          <w:t>Зоны санитарной охраны источников водоснабжения и водопроводов питьевого назначения</w:t>
        </w:r>
      </w:hyperlink>
      <w:r w:rsidRPr="00847D6E">
        <w:rPr>
          <w:rFonts w:ascii="Arial" w:eastAsia="Times New Roman" w:hAnsi="Arial" w:cs="Arial"/>
          <w:sz w:val="24"/>
          <w:szCs w:val="24"/>
          <w:lang w:eastAsia="ru-RU"/>
        </w:rPr>
        <w:t>». Утверждены Постановлением Главного государственного санитарного  врача  РФ от 14.03.2002 г. №10, регистрационный №3399.</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Цель разработки «Генерального плана  Большеманадышского сельского поселения Атяшевского муниципального района Республики Мордовия» направлена на определение в генплане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территории, развития инженерной, транспортной и социальной инфраструктуры, обеспечения учета интересов граждан муниципального образования.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Главная  задача в разработке «Генерального плана  Большеманадышского сельского поселения Атяшевского муниципального района Республики Мордовия» - создание информационно–правового ресурса, необходимого для реализаций полномочий местного самоуправления сельского поселения. Глава 3  статья 9 пункт 3 ФЗ от 29.12.2004 г № 190-ФЗ.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Не допускается принятие органами государственной власти, органами местного самоуправления решений о резервировании земель, об изъятии, в том числе путем  выкупа, земельных участков для государственных или муниципальных нужд, о переводе земель из одной категории в другую при отсутствии документов территориального планирования, за исключением случаев, предусмотренных федеральными законами.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 разработке проекта «Генерального плана Большеманадышского сельского поселения Атяшевского муниципального района Республики Мордовия» использовались следующие документы и материалы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·Техническое задание на проведение работ, утвержденное главой администрации Большеманадышского сельского поселения;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·Топографические материалы и карты на электронном и бумажном носителях в масштабах 1: 25 000 на территорию поселения, 1 : 2 000 на территорию населенных пунктов поселения.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Архивные топографические и землеустроительные материалы.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·Решения об отводах территории в границах рассматриваемой территории, материалы земельного кадастра в графической и электронной версиях.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·Ранее выполненная утвержденная градостроительная документация.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·Схема территориального планирования Республики Мордовия, институт Урбанистики, г. Санкт-Петербург, 2008 год;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При разработке проекта «Генерального плана территории Большеманадышского сельского поселения Атяшевского муниципального района Республики Мордовия» произведен сбор исходной информации, отражающей современное состояние природной и социальной среды, организации территории сельского поселения, транспортно-инженерной инфраструктуры, градоэкономической характеристики территории сельского поселения, сбор данных о наличии памятников истории.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Проектные решения Генерального плана  на расчетный срок 2025 год являются основанием для разработки документации по планировке территории,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847D6E">
        <w:rPr>
          <w:rFonts w:ascii="Arial" w:eastAsia="Times New Roman" w:hAnsi="Arial" w:cs="Arial"/>
          <w:b/>
          <w:bCs/>
          <w:sz w:val="32"/>
          <w:szCs w:val="32"/>
          <w:lang w:eastAsia="ru-RU"/>
        </w:rPr>
        <w:t>  2. Положение о территориальном планировании</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2.1. Цели и задачи территориального планирования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Территориальное планирование развития муниципального образования (поселения) осуществляется посредством разработки градостроительной документации.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При разработке градостроительной документации необходимо руководствоваться градостроительным кодексом Российской Федерации, другими федеральными законами и иными нормативными правовыми актами Российской Федерации, законами и иными правовыми актами субъектов Российской Федерации, федеральными градостроительными нормативами и правилами, нормативно-техническими документами в области градостроительства, государственными стандартами, федеральными специальными нормативами и правилами субъектов Российской Федерации (территориальными градостроительными нормативами и правилами), региональными нормативами градостроительного проектирования Республики </w:t>
      </w:r>
      <w:r w:rsidRPr="00847D6E">
        <w:rPr>
          <w:rFonts w:ascii="Arial" w:eastAsia="Times New Roman" w:hAnsi="Arial" w:cs="Arial"/>
          <w:sz w:val="24"/>
          <w:szCs w:val="24"/>
          <w:lang w:eastAsia="ru-RU"/>
        </w:rPr>
        <w:lastRenderedPageBreak/>
        <w:t>Мордовия, нормативными правовыми актами органов местного самоуправления  и местными нормативами градостроительного проектирования.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Документы территориального планирования муниципальных образований учитываются при комплексном решении вопросов социально-экономического развития, установления границ муниципальных образований, принятия решений о переводе земель из одной категории в другую, планирования и организации рационального использования земель и их охраны, последующей разработке градостроительной документации других видов, а также при разработке программ социально-экономического развития территорий муниципальных образований, целевых программ, схем и проектов развития инженерной, транспортной и социальной инфраструктур, схем охраны природы и природопользования, схем защиты территорий, подверженных воздействию чрезвычайных ситуаций природного и техногенного характера.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Генеральный план муниципального образования (поселения) - документ территориального планирования, определяющий стратегию градостроительного развития муниципального образования (поселения). Генеральный план является основным градостроительным документом, определяющим в интересах населения условия формирования среды жизнедеятельности, направления и границы развития территорий муниципальных образований (поселений), зонирование территории, развитие инженерной, транспортной и социальной инфраструктур, градостроительные требования к сохранению объектов историко-культурного наследия и особо охраняемых природных территорий, экологическому санитарному благополучию.</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Целью разработки генерального плана муниципального образования (поселения) является создание действенного инструмента управления развития территории в соответствии с федеральным законодательством и законодательством субъекта Российской Федерации. Проектные решения генеральных планов являются основой для комплексного решения вопросов организации планировочной структуры; территориального, инфраструктурного и социально-экономического развития муниципальных образований (поселений); разработки правил землепользования и застройки, устанавливающих правовой режим использования территориальных зон; определения зон инвестиционного развития: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Основные задачи генерального плана: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выявление проблем градостроительного развития территории муниципального образования (поселения),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разработка разделов генерального плана: схема планировочной организации территории, схема генерального плана в границах муниципального образования, программа мероприятий по реализации генерального плана, программа инвестиционного освоения территории;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2.2. Перечень мероприятий, предусмотренных генеральным планом развития территории  Большеманадышского сельского поселения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основании «Схемы территориального планирования Республики Мордовия» (ФГУП РосНИПИУрбанистики, Санкт-Петербург, 2008 год) предусматривается: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в сфере гражданского строительства</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создание условий для увеличения темпов жилищного строительства до 0,4-0,5 м2 в год на 1 жителя на 2008 г. – 2015г., до 1 м2 в год на 1 жителя на 2015г. – 2030г.</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обеспечение участков под жилищное строительство инженерной инфраструктурой</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в сфере развития систем водоснабжения и водоотведения: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-предотвращение загрязнения источников питьевого водоснабжения, обеспечение их соответствия санитарно-гигиеническим требованиям;</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-повышение эффективности и надежности функционирования систем водообеспечения за счет реализации водоохранных и санитарных мероприятий, развития систем забора, транспортировки воды и водоотведения;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-обеспечение бесперебойного снабжения населения питьевой водой.</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основании  Схемы территориального планирования Атяшевского района предусматривается: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bookmarkStart w:id="0" w:name="_Toc230686226"/>
      <w:r w:rsidRPr="00847D6E">
        <w:rPr>
          <w:rFonts w:ascii="Arial" w:eastAsia="Times New Roman" w:hAnsi="Arial" w:cs="Arial"/>
          <w:sz w:val="24"/>
          <w:szCs w:val="24"/>
          <w:lang w:eastAsia="ru-RU"/>
        </w:rPr>
        <w:t>Мероприятия по развитию и размещению объектов капитального строительства</w:t>
      </w:r>
      <w:bookmarkEnd w:id="0"/>
      <w:r w:rsidRPr="00847D6E">
        <w:rPr>
          <w:rFonts w:ascii="Arial" w:eastAsia="Times New Roman" w:hAnsi="Arial" w:cs="Arial"/>
          <w:sz w:val="24"/>
          <w:szCs w:val="24"/>
          <w:lang w:eastAsia="ru-RU"/>
        </w:rPr>
        <w:t>.</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Образование</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строительство детского сада на 50 мест в селе Большие Манадыши;</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капитальный ремонт школы в селе Большие Манадыши;</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строительство детского сада на 25 мест в комплексе с клубом и библиотекой в селе  Тетюши;</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Культура и искусство</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bookmarkStart w:id="1" w:name="_Toc141946052"/>
      <w:r w:rsidRPr="00847D6E">
        <w:rPr>
          <w:rFonts w:ascii="Arial" w:eastAsia="Times New Roman" w:hAnsi="Arial" w:cs="Arial"/>
          <w:sz w:val="24"/>
          <w:szCs w:val="24"/>
          <w:lang w:eastAsia="ru-RU"/>
        </w:rPr>
        <w:t>-  реконструкция клуба с увеличением мощности до 240 мест в селе Большие Манадыши;</w:t>
      </w:r>
      <w:bookmarkEnd w:id="1"/>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строительство клуба на 120 мест в комплексе с библиотекой на 3 тыс.экз. и детским садом в селе Тетюши;</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-строительство клуба на 60 мест в комплексе с библиотекой на 1,5 тыс.экз. и спортивным залом в деревне Чебудасы;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Объекты спорта</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спортивный зал 162 кв. м площади пола в комплексе с клубом, библиотекой и детским садом в деревне Чебудасы;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bookmarkStart w:id="2" w:name="_Toc230843165"/>
      <w:r w:rsidRPr="00847D6E">
        <w:rPr>
          <w:rFonts w:ascii="Arial" w:eastAsia="Times New Roman" w:hAnsi="Arial" w:cs="Arial"/>
          <w:sz w:val="24"/>
          <w:szCs w:val="24"/>
          <w:lang w:eastAsia="ru-RU"/>
        </w:rPr>
        <w:t>Инженерное обеспечение</w:t>
      </w:r>
      <w:bookmarkEnd w:id="2"/>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bookmarkStart w:id="3" w:name="_Toc185425046"/>
      <w:r w:rsidRPr="00847D6E">
        <w:rPr>
          <w:rFonts w:ascii="Arial" w:eastAsia="Times New Roman" w:hAnsi="Arial" w:cs="Arial"/>
          <w:sz w:val="24"/>
          <w:szCs w:val="24"/>
          <w:lang w:eastAsia="ru-RU"/>
        </w:rPr>
        <w:t>Газоснабжение</w:t>
      </w:r>
      <w:bookmarkEnd w:id="3"/>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проектом предусматривается закольцовка существующей газораспределительной сети Атяшевского района посредством строительства закольцовывающего газопровода диаметром 150 мм протяженностью 1,1 км от села Тетюши до р.п. Атяшево.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847D6E">
        <w:rPr>
          <w:rFonts w:ascii="Arial" w:eastAsia="Times New Roman" w:hAnsi="Arial" w:cs="Arial"/>
          <w:b/>
          <w:bCs/>
          <w:sz w:val="32"/>
          <w:szCs w:val="32"/>
          <w:lang w:eastAsia="ru-RU"/>
        </w:rPr>
        <w:t>Мероприятия, предусмотренные генеральным планом развития территории Большеманадышского сельского поселения:</w:t>
      </w:r>
    </w:p>
    <w:p w:rsidR="00847D6E" w:rsidRPr="00847D6E" w:rsidRDefault="00847D6E" w:rsidP="00847D6E">
      <w:pPr>
        <w:spacing w:before="150" w:after="280" w:line="360" w:lineRule="auto"/>
        <w:ind w:left="150" w:right="150"/>
        <w:rPr>
          <w:rFonts w:ascii="Times New Roman" w:eastAsia="Times New Roman" w:hAnsi="Times New Roman" w:cs="Times New Roman"/>
          <w:lang w:eastAsia="ru-RU"/>
        </w:rPr>
      </w:pPr>
      <w:r w:rsidRPr="00847D6E">
        <w:rPr>
          <w:rFonts w:ascii="Arial" w:eastAsia="Times New Roman" w:hAnsi="Arial" w:cs="Arial"/>
          <w:color w:val="516062"/>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границах села Большие Манадыши: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 Установить новую границу села Большие Манадыши.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 Строительство индивидуальных жилых домов на площади 10,5 га.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  Строительство детского сада по адресу улица Молодёжная.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4. Строительство детской спортивной площадки по адресу улица Молодёжная, рядом со школой.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5. Строительство автосервиса ул. Октябрьская.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6. Строительство придорожного кафе и гостиницы у автодороги п. Комсомольский-р.п.Атяшево-г.Ардатов-Тургенево.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7. Выделение земельного участка для развития индивидуального предпринимательства.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8. Строительство церкви.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целях упорядочения территории села по генплану предлагается изменить границу села Большие Манадыши. Площадь села увеличилась на 10,5 га из категории земель сельхозназначения. Существующие границы земель сельхозназначения изменяются в связи с включением их в земли населенных пунктов.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территории Большеманадышского сельского поселения рекомендуется: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провести ремонт автодорог, улиц</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строительство АЗС на автодороге п. Комсомольский-р.п.Атяшево-г.Ардатов-Тургенево, южнее деревни Чебудасы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организация зоны отдыха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jc w:val="both"/>
        <w:rPr>
          <w:rFonts w:ascii="Times New Roman" w:eastAsia="Times New Roman" w:hAnsi="Times New Roman" w:cs="Times New Roman"/>
          <w:sz w:val="28"/>
          <w:szCs w:val="28"/>
          <w:lang w:eastAsia="ru-RU"/>
        </w:rPr>
      </w:pPr>
      <w:r w:rsidRPr="00847D6E">
        <w:rPr>
          <w:rFonts w:ascii="Arial" w:eastAsia="Times New Roman" w:hAnsi="Arial" w:cs="Arial"/>
          <w:sz w:val="28"/>
          <w:szCs w:val="28"/>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3.1. Общие сведения о муниципальном  образовании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Муниципальное образование – Большеманадышское сельское поселение расположено в юго-западной части Атяшевского района Республики Мордовия занимая часть водораздельного пространства рек Инсар, Алатырь и Суры.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Границы муниципального образования утверждены Законом Республики Мордовия «Об установлении границ муниципальных образований Атяшевского района, муниципального образования Атяшевский район и наделении их статусом сельского поселения, городского поселения и муниципального района» от 28 декабря 2004 г. № 117-З (с изменениями от 14 июля 2008 года).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Территория сельского поселения состоит из одного единого массива и граничит с  Вечерлейским, Атяшевским, Шейн-Майданским, Русско-Дубровским сельскими поселениями Атяшевского муниципального района, с городским поселением Атяшево и с Чамзинским районом.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Общая площадь сельского поселения составляет 5884,7 га. На территории сельского поселения находятся три населенных пункта: село Большие Манадыши, село Тетюши, деревня Чебудасы, которые расположены в центральной части сельского поселения вдоль автодороги «п.Комсомольский-р.п.Атяшево-г.Ардатов-Тургенево». Село Большие Манадыши в составе сельского поселения является административным центром Большеманадышского сельского поселения. Село Тетюши расположено восточнее от села Большие Манадыши на расстоянии 0,5 км. Деревня  Чебудасы располагается на западе села Большие Манадыши.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структуре современного расселения сельского поселения доминирует адми-нистративный центр – село Большие Манадыши, малого градостроительного развития – населенный пункт с достаточно развитой системой социально бытового обслуживания населения и производственными мощностями. В нем сосредоточены все социально-значимые объекты. Село Тетюши слабого градостроительного развития – населенный пункт со слабовыраженной системой социально бытового обслуживания населения и слаборазвитым производством. Деревня  Чебудасы без градостроительного развития – населенный пункт с неразвитой производственной и социальной сферами.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Транспортная инфраструктура сельского поселения представлена автомобильным и железнодорожным транспортом, которым осуществляют </w:t>
      </w:r>
      <w:r w:rsidRPr="00847D6E">
        <w:rPr>
          <w:rFonts w:ascii="Arial" w:eastAsia="Times New Roman" w:hAnsi="Arial" w:cs="Arial"/>
          <w:sz w:val="24"/>
          <w:szCs w:val="24"/>
          <w:lang w:eastAsia="ru-RU"/>
        </w:rPr>
        <w:lastRenderedPageBreak/>
        <w:t>грузовые и пассажирские перевозки. По территории Большеманадышского сельского поселения с запада на восток проходит автодорога с твердым покрытием III категории  «п.г.т.Комсомольский - р.п.Атяшево – г.Ардатов – Тургенево», автодорога с твердым покрытием «с. Бол. Манадыши – с. Тетюши - р.п.Атяшево», подъезд к селу Тетюши, подъезд к деревне Чебудасы, которые соединяют Чамзинский, Атяшевский, Ардатовский районы, обеспечивают выход в Чувашскую республику. Развитие дорожной сети позволяет обеспечить население автобусным сообщением.  Большеманадышское сельское поселение, вследствие этого, имеет благоприятные  условия  для  осуществления внешних связей с районным центром и столицей республики.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Хорошо развитая транспортная система благоприятствует бесперебойному въезду и выезду и обеспечению сельского поселения необходимыми ресурсами. Большое значение для транспортных связей имеет личный автотранспорт в количестве 112 легковых автомобилей.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 территории Большеманадышского сельского поселения в северо-восточном направлении проходит железнодорожная линия в направлении Алатырь-Казань. Узловая железнодорожная станция находится в р.п. Атяшево.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Административный центр – село Большие Манадыши находится на расстоянии 5 км от районного центра р.п. Атяшево и от столицы Республики Мордовия – г. Саранска 81 км.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3.1.1. Население</w:t>
      </w:r>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 состоянию на 01 января 2009 года на территории Большеманадышского сельского поселения проживает 885 человек,  в том числе в трудоспособном возрасте   468 человек, в пенсионном возрасте  251 человек, дети до 17 лет –  166 человек.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Численность населения в разрезе сел</w:t>
      </w:r>
    </w:p>
    <w:tbl>
      <w:tblPr>
        <w:tblW w:w="0" w:type="auto"/>
        <w:tblCellSpacing w:w="0" w:type="dxa"/>
        <w:tblCellMar>
          <w:left w:w="0" w:type="dxa"/>
          <w:right w:w="0" w:type="dxa"/>
        </w:tblCellMar>
        <w:tblLook w:val="04A0" w:firstRow="1" w:lastRow="0" w:firstColumn="1" w:lastColumn="0" w:noHBand="0" w:noVBand="1"/>
      </w:tblPr>
      <w:tblGrid>
        <w:gridCol w:w="3925"/>
        <w:gridCol w:w="1475"/>
        <w:gridCol w:w="1276"/>
      </w:tblGrid>
      <w:tr w:rsidR="00847D6E" w:rsidRPr="00847D6E" w:rsidTr="00847D6E">
        <w:trPr>
          <w:tblCellSpacing w:w="0" w:type="dxa"/>
        </w:trPr>
        <w:tc>
          <w:tcPr>
            <w:tcW w:w="0" w:type="auto"/>
            <w:vMerge w:val="restart"/>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Название сёл</w:t>
            </w:r>
          </w:p>
        </w:tc>
        <w:tc>
          <w:tcPr>
            <w:tcW w:w="0" w:type="auto"/>
            <w:gridSpan w:val="2"/>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2009год</w:t>
            </w:r>
          </w:p>
        </w:tc>
      </w:tr>
      <w:tr w:rsidR="00847D6E" w:rsidRPr="00847D6E" w:rsidTr="00847D6E">
        <w:trPr>
          <w:tblCellSpacing w:w="0" w:type="dxa"/>
        </w:trPr>
        <w:tc>
          <w:tcPr>
            <w:tcW w:w="0" w:type="auto"/>
            <w:vMerge/>
            <w:vAlign w:val="center"/>
            <w:hideMark/>
          </w:tcPr>
          <w:p w:rsidR="00847D6E" w:rsidRPr="00847D6E" w:rsidRDefault="00847D6E" w:rsidP="00847D6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чел.</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село Большие Манадыши</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494</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56</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село Тетюши</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271</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14</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деревня Чебудасы</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120</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30</w:t>
            </w:r>
          </w:p>
        </w:tc>
      </w:tr>
    </w:tbl>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 общей численности постоянного населения село Большие Манадыши и село Тетюши входят в группу средних населенных пунктов, деревня Чебудасы - в группу малых населенных пунктов.  Плотность населения муниципального образования  составляет 17 человек на кв.км , по сравнению с плотностью по району -19 чел. на кв.км и по республике - 32,7 человека на кв.км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Изменения в социально-экономической жизни, как республики, так и страны в целом, за прошедший 20-летний период повлияли на создание неблагоприятной демографической обстановки.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Демографические процессы, происходящие в селах Большеманадышского сельского поселения, аналогичны процессам, имеющим место в большинстве населенных пунктов страны: происходит деформация возрастной структуры населения (старение населения, сокращение доли молодых возрастов), наблюдается естественная убыль населения и отрицательное сальдо миграции, что неизбежно оказывает влияние на все сферы жизни общества.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Первые признаки снижения населения наметились в 1991 году, с 1993 года наблюдается механический отток населения (число выбывших превышает </w:t>
      </w:r>
      <w:r w:rsidRPr="00847D6E">
        <w:rPr>
          <w:rFonts w:ascii="Arial" w:eastAsia="Times New Roman" w:hAnsi="Arial" w:cs="Arial"/>
          <w:sz w:val="24"/>
          <w:szCs w:val="24"/>
          <w:lang w:eastAsia="ru-RU"/>
        </w:rPr>
        <w:lastRenderedPageBreak/>
        <w:t>количество прибывших), с 1994 года – отрицательный естественный прирост. За период 2004-2008 г. г. население уменьшилось на 5% (на 46 человек). Следует сказать, что за последние годы прослеживается положительное изменение показателей естественного прироста, наблюдается некоторое замедление негативных демографических процессов, что позволяет достаточно оптимистично подходить к прогнозам численности населения и говорить о возможной относительной стабилизации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Современное состояние и основные тенденции демографической ситуации, сложившейся в Большеманадышском сельском поселении, прослеживаются в таблицах и диаграммах, представленных ниже.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Демография</w:t>
      </w:r>
    </w:p>
    <w:tbl>
      <w:tblPr>
        <w:tblW w:w="0" w:type="auto"/>
        <w:tblCellSpacing w:w="0" w:type="dxa"/>
        <w:tblCellMar>
          <w:left w:w="0" w:type="dxa"/>
          <w:right w:w="0" w:type="dxa"/>
        </w:tblCellMar>
        <w:tblLook w:val="04A0" w:firstRow="1" w:lastRow="0" w:firstColumn="1" w:lastColumn="0" w:noHBand="0" w:noVBand="1"/>
      </w:tblPr>
      <w:tblGrid>
        <w:gridCol w:w="2889"/>
        <w:gridCol w:w="1600"/>
        <w:gridCol w:w="1600"/>
        <w:gridCol w:w="1600"/>
        <w:gridCol w:w="1666"/>
      </w:tblGrid>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Показатели</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2005г</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2006г</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2007г</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2008г.</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Численность населения</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949</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945</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975</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885</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Население в возрасте моложе трудоспособного</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176</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186</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172</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166</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Трудоспособного</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461</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457</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518</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468</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Старше трудоспособного</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312</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312</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285</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251</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Число родившихся</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13</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7</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11</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15</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Число умерших</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30</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20</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15</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16</w:t>
            </w:r>
          </w:p>
        </w:tc>
      </w:tr>
    </w:tbl>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72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rPr>
          <w:rFonts w:ascii="Times New Roman" w:eastAsia="Times New Roman" w:hAnsi="Times New Roman" w:cs="Times New Roman"/>
          <w:sz w:val="28"/>
          <w:szCs w:val="28"/>
          <w:lang w:eastAsia="ru-RU"/>
        </w:rPr>
      </w:pPr>
    </w:p>
    <w:p w:rsidR="00847D6E" w:rsidRPr="00847D6E" w:rsidRDefault="00847D6E" w:rsidP="00847D6E">
      <w:pPr>
        <w:spacing w:after="0" w:line="240" w:lineRule="auto"/>
        <w:ind w:right="27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Характеристика существующей демографической ситуации и численность населения производились на основе предоставленных данных по общей численности населения в населенных пунктах, сведений о естественной и механической динамике и структуре численности населения по трем основным группам (Приложение, таблицы 10,12)  .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Из приведенных  данных видно, что достаточно большую долю населения  составляют люди трудоспособного возраста  53% от общего количества населения, доля моложе трудоспособного населения 19% и доля старше трудоспособного населения  28%. То есть возрастная структура населения является «убывающей», сложившаяся ситуация объясняется низким уровнем рождаемости и высоким уровнем смертности.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Необходимо отметить, что количество населения (Приложение, таблица №12) за пять  последних лет с 2004 г, уменьшилось, смертность, на данный период превышает рождаемость в среднем в 1,8 раза,  родилось 11 человек, умерло 20 человек (против 2,1 раза в целом по Республике Мордовия). Низкий уровень рождаемости и высокий уровень смертности предопределили высокие показатели естественной убыли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статистике идёт замедление естественной убыли населения за счёт улучшения качества жизни.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улучшение демографической ситуации, стимулирование рождаемости, работает система социально-бытового обслуживания населения и производственная мощность, программа строительства жилья для молодых людей.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Прогнозируя на пять лет вперед рекомендуется количество трудоспособного населения и градообразующей группы оставить на прежнем уровне. Одной из задач при формировании мероприятий по развитию территории муниципального образования является создание условий для жизни населения до такого уровня, при котором рождаемость будет превышать смертность, а миграционная убыль перерастет в миграционный приток.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Создание благоприятных экономических условий для расширенного воспроизводства населения связано, прежде всего, с повышением жизненного уровня населения, реальных доходов семей. Главными средствами реализации данного направления социальной политики могут быть интенсивное развитие реального сектора экономики, повышение доли зарплаты в валовом региональном продукте, обеспечение более широкого и качественного спектра адресной социальной поддержки наиболее уязвимых слоев населения. Целью демографической политики на среднесрочную перспективу является снижение уровня смертности населения, прежде всего в трудоспособном возрасте, создание условий для роста рождаемости и численности населения. На решение этих проблем направлена «Программа улучшения демографической ситуации в Республике Мордовия».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Комплекс мер, способствующих улучшению демографической ситуации в Республике Мордовия, включает в себя: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содействие оптимизации половозрастной структуры населения городских и сельских поселений до параметров, необходимых для обеспечения естественного демографического воспроизводства;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создание условий для сохранения и поддержки семьи, обеспечения ее демографических, экономических, социальных, духовно-нравственных функций;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приоритетную поддержку многодетных и много поколенных семей;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дифференцированный подход к решению жилищных проблем для различных категорий семей;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создание условий для повышения безопасности жизнедеятельности людей, их здоровья, снижения смертности дееспособного населения и роста продолжительности жизни.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3.1. 2.Оценка природных условий и ресурсов</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Климат</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Формирование климата происходит под воздействием ряда факторов, среди которых, прежде всего, следует отметить  географическое положение, циркуляцию воздушных масс, определяемую перепадами атмосферного давления, и влияние подстилающей породы.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Климат восточной части Республики Мордовия и Атяшевского района определяется физико-географическим положением Республики Мордовия в умеренном поясе центра Русской равнины можно охарактеризовать как умеренно континентальный с холодной зимой и умеренно теплым летом, с хорошо выраженной сменой сезонов года. Среднегодовая температура воздуха составляет от +3,5°С до 4,0°С. Средняя температура самого холодного месяца января изменяется в пределах –11,5… –12,3°С, отмечаются понижения температуры до –47°С. Средняя температура самого теплого месяца июля +18,9…+19,8°С.  Экстремальные значения температуры летом достигают +38°С. Продолжительность солнечного сияния в год достигает 1 850 ч: в декабре - январе 35-45 ч, в июне-июле 250-290 ч. Наиболее пасмурным является период с ноября по январь.     Средняя дата последнего заморозка весной в воздухе </w:t>
      </w:r>
      <w:r w:rsidRPr="00847D6E">
        <w:rPr>
          <w:rFonts w:ascii="Arial" w:eastAsia="Times New Roman" w:hAnsi="Arial" w:cs="Arial"/>
          <w:sz w:val="24"/>
          <w:szCs w:val="24"/>
          <w:lang w:eastAsia="ru-RU"/>
        </w:rPr>
        <w:lastRenderedPageBreak/>
        <w:t>приходится на 4-16 мая, первого осенью – на 18-20 сентября. На поверхности почвы заморозки прекращаются в среднем 17 мая – 5 июня и появляются осенью обычно во второй декаде сентября. Продолжительность безморозного периода - до 149 дней.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Период вегетации  (среднесуточная температура более 5°С) начинается с конца апреля до середины октября, т. е. составляет 180 – 190 дней. Продолжительность периода активной вегетации (среднесуточная температура выше10°С) составляет 137-143 дня.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формировании основных черт климата участвуют три типа воздушных масс: арктические, умеренных широт и тропические с преобладанием второго типа. Воздушные массы представлены двумя разновидностями – континентальными и морскими. Среднегодовая скорость ветра варьирует от 3,3 м/сек. до 4,8 м/сек. Наибольшая средняя скорость ветра колеблется в пределах 3,7 – 5,7 м/с и наблюдается зимой,  наименьшая (2,2-3,6 м/с) отмечена в июле. Преобладают ветры юго-западного и южного направлений.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данным Саранской и других метеостанций по многолетним данным количество выпадающих здесь атмосферных осадков в год доходит до 460 мм, что является достаточным для данной полосы, в теплый период (апрель-октябрь) выпадает  около 70 – 80% осадков, наибольшее количество осадков обычно выпадает в июле свыше 100 мм за месяц. Среднее количество осадков за вегетационный период более 350 мм. Однако, в течение года они выпадают неравномерно – максимум приходится на июнь июль месяцы, минимум   на январь февраль. Иногда осадки не выпадают в течение целого месяца. Количество выпадающих осадков колеблется не только в течение года, но и в течение летних месяцев, зимой же оно более постоянное.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территории муниципального образования осадки выпадают преимущественно в жидком виде, дожди отмечались метеорологическими станциями круглогодично. Первый снег обычно появляется в конце октября, возможны отклонения на 2-3 недели. Устойчивый снежный покров образуется в последней декаде ноября. Наибольшей высоты снежный покров достигает в конце февраля – начале марта. Средняя высота снегового покрова в поле составляет 25 см, в лесу 40-70 см. Устойчивый снежный покров держится 140-150 дней. Во второй половине марта он разрушается, в среднем его сход отмечается 8-13 апреля.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Среди неблагоприятных климатических явлений отмечаются промерзание почвы, гололед,  метели, засухи, суховеи. Промерзание почвы зависит от рельефа, физических свойств грунта, температуры воздуха, степени увлажненности почвы и высоты снежного покрова. Глубина промерзания почвы до 80-100 см, а в суровые малоснежные зимы колеблется от 120 до 150 см. Полное оттаивание почвы весной происходит 20-25 апреля.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Гололед образуется при небольших отрицательных температурах с выпадением переохлажденного дождя, его повторяемость  10-15 дней за зиму. Метели формируются при снегопаде с усилением ветра и температуры, наиболее часты в январе-феврале. Самыми неблагоприятными явлениями лета можно назвать засухи и суховеи. Среднее число дней с интенсивным суховеем 1-2 дня, в отдельные годы до 15 дней. Период действия суховейных ветров продолжается с мая по август.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целом климат района благоприятен для возделывания основных сельскохозяйственных культур.</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Почвы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Приграничное положение республики в бореальной умеренно холодной и центральной лесостепной и степной областях обусловливает сложную структуру </w:t>
      </w:r>
      <w:r w:rsidRPr="00847D6E">
        <w:rPr>
          <w:rFonts w:ascii="Arial" w:eastAsia="Times New Roman" w:hAnsi="Arial" w:cs="Arial"/>
          <w:sz w:val="24"/>
          <w:szCs w:val="24"/>
          <w:lang w:eastAsia="ru-RU"/>
        </w:rPr>
        <w:lastRenderedPageBreak/>
        <w:t>почвенного покрова. Почвенный покров Атяшевского района довольно разнообразен, что объясняется значительной расчлененностью рельефа, разнообразием материнских пород, своеобразным климатом и другими условиями.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Почвенный покров Большеманадышского сельского поселения в северной и центральной части представлен черноземами выщелоченным и оподзоленным среднегумусным, тяжелосуглинистого механического состава, почвообразующие породы делювиальные и покровные суглинки. Выщелоченные черноземы залегают, большей частью, на водоразделах и пологих склонах, реже на крутых склонах. Вдоль железной дороги почвенный покров представлен лугово-черноземными почвами, тяжелосуглинистого механического состава, почвообразующие породы делювиальные суглинки. В южной части сельского поселения почвенный покров представлен светло-серыми лесными сильнощебнистыми сильносмытыми почвами, почвообразующие породы – элювий опок и мергелей, располагаются на верхней части пологих склонов и на крутых склонах.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Чернозёмы приурочены к нижним придолинным участкам склонов вторичных моренных и эрозионно-денудационных равнин, где почвообразующими породами являются элювиально-делювиальные и делювиальные суглинки. В ранние периоды хозяйственного освоения здесь были распространены луговые и кустарниковые степи. Выделяются 3 подтипа: выщелоченные чернозёмы, оподзоленные чернозёмы и остаточно карбонатные чернозёмы (на отложениях мела и мергеля в юго-восточной части республики). Чернозёмы имеют преимущественно тяжелосуглинистый и глинистый гранулометриче</w:t>
      </w:r>
      <w:r w:rsidRPr="00847D6E">
        <w:rPr>
          <w:rFonts w:ascii="Arial" w:eastAsia="Times New Roman" w:hAnsi="Arial" w:cs="Arial"/>
          <w:sz w:val="24"/>
          <w:szCs w:val="24"/>
          <w:lang w:eastAsia="ru-RU"/>
        </w:rPr>
        <w:softHyphen/>
        <w:t>ский состав. По мощности гумусового горизонта выделяются мощные чернозёмы (80 – 120 см), средние (40 – 80) и маломощные чернозёмы (до 40 см), по содержанию гумуса – высокогумусные (более 9%), среднегумусные (6 – 9) и малогумусные чернозёмы (4 – 6%). На территории сельского поселения преобладают среднемощные и среднегумусные чернозёмы. Реакция слабокислая, близкая к нейтральной.  В настоящее время черноземные почвы сплошь распаханы.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Серые лесные почвы являются результатом дальнейшего подзолообразовательного процесса, причем ближе всех к чернозему по морфологическим и физико-химическим свойствам стоят темно серые лесные почвы. Почвы, сформированные в основном на четвертичных элювиально-делювиальных суглинках, имеют суглинистый и глинистый состав. Мощность гумусового горизонта – 15 – 55 см.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целом, по своим природным свойствам почвы в большинстве своем вполне пригодны для возделывания всех зональных культур и при правильном использовании могут давать высокие и устойчивые урожаи.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Почти повсеместно сохраняется тенденция деградации почвенного покрова, отражающаяся на продуктивности земель.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 01.01.2006 г. введены новые, рассчитанные на основе кадастровой стоимости земельных участков, ставки земельного налога. Сведения о кадастровой стоимости по всем земельным участкам вводятся в Единый государственный реестр земель, который ведет Земельная кадастровая палата по району.</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lastRenderedPageBreak/>
        <w:t>    Рельеф</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Территория муниципального образования расположена на северо-западных склонах пластово-ярусной Приволжской возвышенности, занимая часть водораздельного пространства рек Инсар, Алатырь и Суры. Водораздельное плато осложнено в своем строении овражно-балочной и речной сетью, максимальные абсолютные отметки рельефа не превышают 240 м над уровнем моря.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Современный рельеф территории Большеманадышского сельского поселения низко равнинный с развитой овражно-балочной сетью, пересекая территорию, расчленяют её на ряд отдельных участков, каждый из которых представляет  водораздельный массив со склонами различной крутизны и экспозиции. Долины рек имеют ассиметричное строение. Склоны западной экспозиции и южной экспозиции крутые, а восточной и северной – пологие. В долинах малых рек прослеживаются аккумулятивные, эрозионные и цокольные террасы. Наиболее четко выражена первая надпойменная терраса. В низовьях она имеет ширину до 1 км, вверх по течению она уменьшается. Высота террасы 3 - 5 м над уровнем поймы. На склонах южной экспозиции образуются  эрозионные процессы. Макро и мезоформы рельефа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Длительные тектонические инверсии обусловили активное развитие эрозионных процессов. Почти повсеместно на водораздельных массивах и крутых склонах наблюдаются выходы карбонатных и кремнисто карбонатных пород.</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bookmarkStart w:id="4" w:name="_Toc230843132"/>
      <w:r w:rsidRPr="00847D6E">
        <w:rPr>
          <w:rFonts w:ascii="Arial" w:eastAsia="Times New Roman" w:hAnsi="Arial" w:cs="Arial"/>
          <w:b/>
          <w:bCs/>
          <w:sz w:val="24"/>
          <w:szCs w:val="24"/>
          <w:lang w:eastAsia="ru-RU"/>
        </w:rPr>
        <w:t>    Гидрография и гидрология</w:t>
      </w:r>
      <w:bookmarkEnd w:id="4"/>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Гидрографическая сеть Большеманадышского сельского поселения принадлежит к бассейну реки Суры и представлена реками Дады, Вечерлейка, ручьем Вечерлей, а также небольшими ручьями, протекающими по днищам оврагов и балок и прудом в селе Тетюши. Река Дады протекает по северной границе сельского поселения. В центральной части сельского поселения с юго-востока на северо-запад  протекает река Вечерлейка, в реку впадает ручей Вечерлей протекающий по западной границе с юга на север. Русло рек извилистое, течение спокойное.  Дно рек относительно ровное, берега поросшие древесно-кустарниковой и травянистой растительностью, местами встречаются песчаные  плесы.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Ручьи, протекающие по днищам оврагов и балок маловодны, течение спокойное, поймы не выражены,  летом пересыхают.  Берега пологие, задернованы.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Мелкие реки, в жаркие месяцы пересыхают в своих истоках.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Гидрологический режим рек Атяшевского района характеризуется наличием высокого весеннего половодья, низкой летне-осенней межени, нарушаемой в дождливые годы двумя 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 начале июня. Его продолжительность составляет в среднем полтора - два месяца, в отдельные годы   больше. Все реки имеют снеговое питание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4 - 5 месяцев. Толщина льда достигает в среднем 85 см, а в суровые зимы – до 115 см.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Основная доля в объеме водных ресурсов района приходится на речной сток.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Для оценки естественной обеспеченности районов Республики Мордовия поверхностными водными ресурсами использована величина удельного допустимого водоотбора, составляющая 25% от среднего объема стока в маловодный год 95% обеспеченности.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Средний годовой объем стока в районе составляет 138,8 млн.м3. Среднегодовой объем стока в маловодный год 95% обеспеченности составляет 20,8 млн.м3. Исходя из принятых параметров, по водообеспеченности Атяшевский район является слабо обеспеченным местным стоком.</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bookmarkStart w:id="5" w:name="_Toc230843135"/>
      <w:r w:rsidRPr="00847D6E">
        <w:rPr>
          <w:rFonts w:ascii="Arial" w:eastAsia="Times New Roman" w:hAnsi="Arial" w:cs="Arial"/>
          <w:b/>
          <w:bCs/>
          <w:sz w:val="24"/>
          <w:szCs w:val="24"/>
          <w:lang w:eastAsia="ru-RU"/>
        </w:rPr>
        <w:t>         Растительность и животный мир</w:t>
      </w:r>
      <w:bookmarkEnd w:id="5"/>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Атяшевский район расположен в лесостепной зоне. Однако, лес, покрывающий прежде большую часть территории, сохранился на небольшой площади в виде отдельных участков. В районе естественным лесом покрыто – 8510 га.  На территории Большеманадышского сельского поселения лесные ресурсы составляют  196 га, что составляет 3,3%.</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Разнообразие растительности Мордовии определяется особенностями климата и литогенной основы – рельефом, характером отложений, глубиной залегания и химическим составом грунтовых вод. Они обусловливают пространственное сочетание широколиственных лесов, растительных сообществ пойменных лугов и болот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Естественная травянистая растительность сохранилась лишь на участках, неудобных для распашки по склонам и днищам оврагов и балок, небольшими участками на водоразделах в пойме реки Вечерлейка, ручья Вечерлей, небольшими участками в населённых пунктах.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месте лесов, степей, болот в процессе хозяйственной деятельности человека формируются вторичные сообщества – луга. Для пойм рек характерны лесные, кустарниковые, луговые, болотные и водные фитоценозы. Пойменные луга представлены мятликом, осоками, тимофеевкой, злаками и др.</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Болота пойм по характеру растительности подразделяются на травяные, кустарниковые и лесные ассоциации. Среди травяных болот преобладают тростниковые, рогозовые, камышовые, хвощовые и др. Широко распространены осоковые болота.                                          Кустарниковые болота представляют заросли ив и располагаются чаще всего в прирусловой части пойм.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притеррасных понижениях и топях формируются ольшаники из ольхи клейкой. В подлеске черёмуха, калина, чёрная смородина и др. Значительно присутствие хмеля. Травянистый покров составляют калужница, крапива, недотрога, мята и др.</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различных антропогенных модификациях природных комплексов широкое распространение имеют сорные растения. Наиболее типичными представителями сорной растительности на сельскохозяйственных угодьях являются василёк синий, бодяк полевой, осот полевой, хвощ полевой. На пастбищах типичны клевер ползучий, одуванчик и другие, которые снижают качество и продуктивность травостоя.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района присутствуют элементы как лесной, так и степной фауны. Наиболее типичными представителями лесной зоны являются лось, кабан, рысь, куница, медведь, заяц беляк; из птиц – глухарь, рябчик, дятлы, дрозды, синицы. Значительно меньше животных, характерных для степи, таких, как крапчатый суслик, степная пеструшка, обыкновенный слепыш, большой тушканчик, что связано с почти полной распашкой лугово-степных комплексов.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К редким видам млекопитающих, обитающих в поймах рек, относится русская выхухоль (вид включён в Красную Книгу). 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лесных ландшафтах, и реже в их антропогенных модификациях распространены ежовые, кротовые, землеройковые.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кронах и дуплах деревьев, иногда в постройках человека обитают представители отряда рукокрылых. Они представлены такими видами, как нетопырь Натузиуса, рыжая вечерница, двухцветный кожан, ушан, водяная ночница. К редким видам относятся прудовая ночница, усатая ночница, нетопырь карлик, северный кожанок.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Наиболее разнообразен и многочислен отряд грызунов, представленный семействами беличьих, бобровых, слепышовых, мышиных, тушканчиковых, соневых. Как и животные других отрядов, грызуны принадлежат как к лесным сообществам (например, белка), так и к степным (пеструшка степная, тушканчик большой, серый хомячок). Некоторые из них весьма многочисленны, как, например, мыши, но многие встречаются довольно редко (соня полчок, соня садовая, соня орешниковая, мышовка лесная, красная полевка).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Для лесных и аграрных ландшафтов характерны представители отряда зайцеобразных – заяц русак и заяц беляк. Их численность резко колеблется по годам. Они часто наносят значительный вред садам.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Мордовии зарегистрировано 267 видов птиц, 70 из них относятся к категории редких и исчезающих. В Красную книгу республики включено 88 видов птиц, из которых – 26 учитываются в Красной книге Российской федерации – черный аист, краснозобая казарка, черноглазая чернеть, скопа, беркут, балобан, степная пустельга, дрофа, большой кроншнеп и другие.</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Полезные ископаемые</w:t>
      </w:r>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Полезными  ископаемыми Атяшевский муниципальный район крайне беден, имеются только месторождения глин и мела. Для определения инженерно-геологических условий того или иного участка необходимы специальные инженерно геологические исследования. Месторождения и проявления полезных ископаемых (строительного камня, песчано гравийных материалов, строительного песка и др.) связанны с приповерхностным залеганием и выходами на поверхность пород каменноугольной, меловой, палеогеновой, неогеновой и четвертичной систем. Среди них выделяются следующие продуктивные горизонты: гжельский, аптский, альбский, сантонский, сызранский, миоцен плиоценовый и плейстоцен голоценовый на строительный камень, песчано гравийные смеси и строительные пески.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соответствии с особенностями геологического строения на территории района выделены месторождения кирпично черепичного (глины, суглинки) сырья, также имеется несколько разрабатываемых карьеров песчано гравийной смеси.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Большеманадышского сельского поселения полезные ископаемые не выявлялись. В южной части сельского поселения имеются карьеры местного 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3.1.3. Оценка  состояния использования территории</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Земельный фонд Большеманадышского сельского поселения  составляет 5884,7 га,  в том числе сельскохозяйственные угодья – 4663,2 га.</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На территории Большеманадышского сельского поселения земли сельско-хозяйственного назначения состоят из сельскохозяйственных предприятий. Сюда входят земли ОАО «Агрофирма Искра», 546 долей ОАО «Агрофирма Искра», кроме того, имеются земли спецфонда перераспределения, земли в ведение сельской администрации и земли СПТУ № 13. Земли других организаций - это земли лесного фонда, земли промышленности, энергетики, транспорта - это земли ГОСУКС РМ автодорога Саранск-Ардатов, ОАО «Российские железные дороги» Горьковская железная дорога.</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муниципального образования функционирует ОАО «Агрофирма Искра», которое специализируется на животноводстве и растениеводстве. По показателю поголовья крупного рогатого  скота в Атяшевском районе наибольший удельный вес приходится на ОАО «Агрофирма Искра». Поголовье сельскохозяйственных животных по состоянию на 01.01.2009 год составило крупного рогатого скота 1466 голов, в том числе коров 570 голов. Производство молока в районе составляет около 7% от общего объема по республике. Порядка 53% производства молока приходится на общественный сектор, одним из основных производителей является ОАО «Агрофирма Искра». Производство молока за 2008 год составило 2499 тонн, мяса 100 тонн. До 2015 года увеличение поголовья сельскохозяйственных животных составит 1500 голов. В ОАО «Агрофирма Искра» выращивают следующие зерновые и зернобобовые культуры: пшеница, рожь, ячмень, горох, овес. Из технических культур выращивают только сахарную свеклу. Урожайность зерновых культур на конец 2008 года составила 25-31,5 ц/га и сахарной свеклы 371,5 ц/га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Основными сельскохозяйственными животными в личных подсобных хозяйствах, являются крупный рогатый скот, свиньи, овцы и птица. Поголовье сельскохозяйственных животных у населения по селам по состоянию на 01.01.2009 год составило КРС – всего 250 голов, свиней 780 голов. До 2015 года увеличение поголовья скота не планируется.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районе действует программа «Развития сельского хозяйства и регулирования рынка сельскохозяйственной продукции, сырья и продовольствия Республики Мордовия на 2008-2012г.г».  Целями Программы является: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устойчивое развитие сельских территорий, повышение занятости и уровня жизни сельского населения;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повышение конкурентоспособности сельскохозяйственной продукции на основе обеспечения финансовой устойчивости и модернизации сельского хозяйства, а также на основе ускоренного развития приоритетных подотраслей сельского хозяйства;</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сохранение воспроизводство используемых в сельскохозяйственном производстве земельных и других природных ресурсов.</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lastRenderedPageBreak/>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pacing w:after="0" w:line="360" w:lineRule="auto"/>
        <w:ind w:right="279"/>
        <w:jc w:val="center"/>
        <w:rPr>
          <w:rFonts w:ascii="Times New Roman" w:eastAsia="Times New Roman" w:hAnsi="Times New Roman" w:cs="Times New Roman"/>
          <w:sz w:val="24"/>
          <w:szCs w:val="24"/>
          <w:lang w:eastAsia="ru-RU"/>
        </w:rPr>
      </w:pP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3.1.4. Планировочная организация территории</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Жилая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Жилая зона предназначена для организации благоприятной и безопасной среды проживания населения, отвечающая его социальным, культурным, бытовым и другим потребностям.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общественного питания,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Большеманадышского сельского поселения расположено три населенных пункта: село Большие Манадыши, село Тетюши, деревня Чебудасы. Проектом предусматривается изменение границы населенного пункта Большие Манадыши на северо-востоке села для строительства индивидуальных жилых домов, новое строительство в населённых пунктах также будет осуществляться за счёт резервных территорий внутри сёл.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Главным планировочным центром муниципального образования является село Большие Манадыши – административный центр сельского поселения.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настоящее время в жилой зоне села расположены социально – значимые объекты: администрация сельского поселения, правление сельхозпредприятия, сельский Дом культуры, сельская библиотека, магазины, средняя образовательная школа, ФАП, почта, отделение сбербанка, строится храм (Приложение, таблица 13).</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Сложившаяся  планировка и застройка территории представлена одноэтажными, деревянными и каменными индивидуальными жилыми домами общей площадью от 40 до 60 кв.м. Домовладения на улицах застроены в два порядка, разделённых дорогами. Улицы – Октябрьская, Первомайская, Молодежная, Пролетарская  меридианного и широтного направления, частично имеют асфальтовое покрытие.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Общественный, торговый и культурный центр находится в центральной части села на улице Молодежная.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Второстепенными планировочными центрами является село Тетюши и деревня Чебудасы.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Село Тетюши расположено на востоке от центральной усадьбы сельского поселения, в селе проходит улица Ленина. На территории села располагаются начальная школа, магазин, ФАП.</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Деревня Чебудасы располагается на западе от центральной усадьбы сельского поселения, в селе проходит улица Кочеткова, на территории деревни располагается магазин.</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Производственная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В производственных зонах сельских поселений и населенных пунктов следует размещать животноводческие, птицеводческие и звероводческие </w:t>
      </w:r>
      <w:r w:rsidRPr="00847D6E">
        <w:rPr>
          <w:rFonts w:ascii="Arial" w:eastAsia="Times New Roman" w:hAnsi="Arial" w:cs="Arial"/>
          <w:sz w:val="24"/>
          <w:szCs w:val="24"/>
          <w:lang w:eastAsia="ru-RU"/>
        </w:rPr>
        <w:lastRenderedPageBreak/>
        <w:t>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Производственные зоны Большеманадышского сельского поселения находятся в черте населенных пунктов. В селе Большие Манадыши на северо-востоке размещаются  складские помещения, зерноток, помещения машинотракторного парка и стоянка сельскохозяйственных машин, строения кирпичные. На юго-западе села Большие Манадыши размещается молочно товарная ферма на 1466 голов крупного рогатого скота, складские помещения, строения кирпичные. На территории МТФ находится маслодельный завод. В селе Тетюши производственная зона находится в черте населенного пункта, размещена на юге и представлена постройками скотного двора. На юге деревни Чебудасы располагаются постройки недействующей свинофермы. На перспективу предлагается недействующие территории под фермами зарезервировать для производственных целей.</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Зона специального назначения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состав зон специального назначения Республики Мордовия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настоящее время на территории муниципального образования располагается два кладбища, скотомогильник.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селе Большие Манадыши кладбище расположено в черте населенного пункта на северо-востоке села на расстоянии 0,5 км от жилой застройки, в селе Тетюши кладбище расположено в черте населенного пункта на юге  села на расстоянии 0,4 км от жилой застройки.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 пищевого сырья животного происхождения).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Скотомогильник расположен на юг от села Большие Манадыши на расстоянии 2,9 км от жилой застройки.</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Рекреационная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Рекреационные зоны предназначены для организации массового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Ландшафтно-рекреационные условия сельского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предпосылкой для создания объектов рекреации местного значения. Основу рекреационного </w:t>
      </w:r>
      <w:r w:rsidRPr="00847D6E">
        <w:rPr>
          <w:rFonts w:ascii="Arial" w:eastAsia="Times New Roman" w:hAnsi="Arial" w:cs="Arial"/>
          <w:sz w:val="24"/>
          <w:szCs w:val="24"/>
          <w:lang w:eastAsia="ru-RU"/>
        </w:rPr>
        <w:lastRenderedPageBreak/>
        <w:t>потенциала составляют река Вечерлейка и ручей Вечерлей, а также пруды в селе Тетюши и в деревне Чебудасы.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Данная группа представляет исключительно привлекательные пейзажи, пригодные для кратковременного массового отдыха. Однако в связи с важнейшим значением этих территорий для поддержания экологического равновесия природно-экологического каркаса республики и низкой устойчивостью к рекреационным нагрузкам проектом определена необходимость строгого регулирования рекреационного освоения этих территорий.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3.1.5. Характеристика жилищного фонда и социальной инфраструктуры.</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Большеманадышского сельского поселения существующий жилищный фонд составляет 23132 м?, в том числе в селе Большие Манадыши – 12021 м?, в селе Тетюши – 7150 м?, в деревне Чебудасы - 3961 м?. Средняя обеспеченность жилой площадью по сельскому поселению составляет 26,1 м?/чел (Приложение, таблица 14).  В селе Большие Манадыши 246 домов, в селе Тетюши 175 домов, в деревне Чебудасы103 дома. В Большеманадышском сельском поселении 56 домов находятся в ветхом состоянии, имеют износ 70%.</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Частные домовладения сельского поселения деревянные и кирпичные, в настоящее время находятся в индивидуальной собственности.</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Основная часть жилищного строительства осуществляется за счет средств населения.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Администрация Большеманадышского сельского поселения оказывает содействие индивидуальному жилищному строительству. Под строительство выделяются земельные участки, выдаются документы на приобретение деловой древесины.  В сельском поселении  работает программа РЦП «Жилище» на 2006-2010гг. Целью  РЦП «Жилище» является комплексное решение проблемы перехода к устойчивому функционированию и развитию жилищной сферы, обеспечивающее доступность жилья для жителей Республики Мордовия, безопасные и комфортные условия проживания в нем.</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жилищной сфере Большеманадышского сельского поселения планируется упорядочение и уплотнение сложившейся застройки. Выделение территорий для жилищного строительства будет осуществляться с учетом не только запланированного повышения уровня жилищной обеспеченности, но и необходимости переселения жителей из ветхого и аварийного жилищного фонда. Расчетная обеспеченность увеличится до 30,4 кв.м/чел.</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целях упорядочения территории села по генплану предлагается изменить границу села Большие Манадыши. Площадь села увеличилась на 10,5 га из категории земель сельхозназначения. Проектом предполагается также осуществлять жилищное строительство в границах населенных пунктов.</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Развитие сети культурно - бытового обслуживания населения неразрывно связано со сложившейся системой расселения и с перспективами ее развития.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Оценка социальной сферы на территории сельского поселения проведена в разрезе социально значимых объектов - образования, здравоохранения, культуры, спорта. Нормативная потребность определялась согласно требованиям региональных нормативов градостроительного проектирования Республики Мордовия, а также распоряжению Правительства РФ №1063-р от 03.07.1996 г. «Социальные нормативы и нормы». В </w:t>
      </w:r>
      <w:r w:rsidRPr="00847D6E">
        <w:rPr>
          <w:rFonts w:ascii="Arial" w:eastAsia="Times New Roman" w:hAnsi="Arial" w:cs="Arial"/>
          <w:sz w:val="24"/>
          <w:szCs w:val="24"/>
          <w:lang w:eastAsia="ru-RU"/>
        </w:rPr>
        <w:lastRenderedPageBreak/>
        <w:t>соответствии с данными положениями устанавливается показатель нормативной мощности объекта обслуживания, а с учетом информационной базы по существующему положению (фактическая мощность, степень загрузки, физическое состояние зданий) и численности населения формируется система мероприятий по новому строительству, как для ликвидации дефицита, так и возобновления ветхого, неприспособленного фонда.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муниципального образования находятся социально значимые объекты - учреждения культуры, здравоохранения, образования, социального обеспечения и спорта.</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целях развития системы образования республики, совершенствования содержания и технологий образования, развития системы обеспечения качественных образовательных услуг Правительство Республики Мордовия утвердило программу «Развития образования Республики Мордовия на 2007-2010 годы».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Система образования сельского поселения включает Большеманадышскую среднюю общеобразовательную школу на 192 ученических места, Тетюшскую начальную общеобразовательную школу на 50 ученических мест. В настоящее время  Большеманадышская СОШ находится в удовлетворительном состоянии, обучаются школьники из села Русские Дубровки и из деревни Чебудасы, обучается 98 учеников. Тетюшская НОШ находится в ветхом состоянии, обучается 9 учеников, старшеклассники обучаются в Поселковской школе № 1 в р.п. Атяшево. Снижение рождаемости привело к тому, что современная обеспеченность общеобразовательными школами достаточно высока. Детских садов в сельском поселении нет. По прогнозу, при благоприятном социально-экономическом развитии района, численность населения будет расти и соответственно сохранится потребность в детских садах.</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Культурно-досуговые учреждения представлены Большеманадышским СДК, Большеманадышской сельской библиотекой. СДК располагается в здании 1986 года ввода в пользование на 200 посадочных мест, износ составляет 26%. В сельском доме культуры проводятся крупные мероприятия, праздничные дискотеки, вечера отдыха, юмора и сатиры, тематические вечера. Библиотека находится в приспособленное здание при СДК,  библиотечный фонд сельской библиотеки составляет 18500 экземпляров книг.</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Обеспечение населения качественными услугами в области здравоохранения  - одна из главнейших задач, стоящая перед органами управления. В этих целях Правительство Республики Мордовия утвердило Республиканскую программу «Развитие здравоохранения в Республике Мордовия на 2006-2008 годы»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Цели программы: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-обеспечение доступной и качественной медицинской помощи населению Республики Мордовия;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-развитие профилактического направления медицинской помощи;</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-обеспечение населения высокотехнологической медицинской помощью;</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-развитие и укрепление материально-технической базы учреждений здравоохранения.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Здравоохранение муниципального образования представлено фельдшерско-акушерскими пунктами – Большеманадышский ФАП в котором работает два специалист и Тетюшинский ФАП в котором работает один </w:t>
      </w:r>
      <w:r w:rsidRPr="00847D6E">
        <w:rPr>
          <w:rFonts w:ascii="Arial" w:eastAsia="Times New Roman" w:hAnsi="Arial" w:cs="Arial"/>
          <w:sz w:val="24"/>
          <w:szCs w:val="24"/>
          <w:lang w:eastAsia="ru-RU"/>
        </w:rPr>
        <w:lastRenderedPageBreak/>
        <w:t>специалист. Для обследования и оказания помощи населению в Атяшевской ЦРБ имеется  терапевтическое отделение и  врачебная амбулатория.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Из спортивных сооружений в муниципальном образовании имеется спортивный зал при школе в селе Большие Манадыши, находится в удовлетворительном состоянии. Правительством Республики Мордовия 19 февраля 2007 года была утверждена программа «Развитие физической культуры и спорта в Республике Мордовия на 2007-2010 год». Программа направлена на формирование у населения потребности в физическом совершенствовании, внедрение физической культуры и спорта в режим учебы, труда и отдыха различных социально-демографических групп населения, а также предполагается строительство, реконструкция и модернизация физкультурно-оздоровительных и спортивных сооружений, оснащение их современным оборудованием и инвентарем.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3.1.6. Развитие транспортной инфраструктуры</w:t>
      </w:r>
    </w:p>
    <w:p w:rsidR="00847D6E" w:rsidRPr="00847D6E" w:rsidRDefault="00847D6E" w:rsidP="00847D6E">
      <w:pPr>
        <w:spacing w:after="0" w:line="24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целях устойчивого развития Республики Мордовия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 разработке генерального плана сельского поселения следует предусматривать единую систему транспорта и улично-дорожной сети в увязке с планировочной структурой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необходимо учитывать особенности сельского поселения как объекта проектирования.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Сооружения и коммуникации транспортной инфраструктуры могут располагаться в составе всех территориальных зон.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Проектирование нового строительства и реконструкции объектов транспортной инфраструктуры должно сопровождаться экологическим обоснованием, предусматривающим количественную оценку всех видов воздействия на окружающую среду и оценку экологических последствий реализации проекта в соответствии с нормативными требованиями.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Автомобильные дороги в зависимости от расчетной интенсивности движения и их хозяйственного и административного значения подразделяются на I-а, I-б, II, III, IV и V категории.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Транспортный комплекс Большеманадышского сельского поселения представлен автомобильным и железнодорожным видами транспорта, которые осуществляют грузовые и пассажирские перевозки. Автомобильный транспорт играет важную роль в экономике республики. Существующая сеть автомобильных дорог сформировалась исторически под влиянием геополитического положения региона, особенностей освоения территории и размещения населенных пунктов, организации и развития производственных сил.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Сложившаяся транспортная инфраструктура является относительно благоприятной по транспортному обслуживанию территории сельского поселения.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По территории Большеманадышского сельского поселения проходит автодорога с твердым покрытием III категории  «п.г.т.Комсомольский - р.п.Атяшево – г.Ардатов – Тургенево» соединяет Чамзинский, Атяшевский, </w:t>
      </w:r>
      <w:r w:rsidRPr="00847D6E">
        <w:rPr>
          <w:rFonts w:ascii="Arial" w:eastAsia="Times New Roman" w:hAnsi="Arial" w:cs="Arial"/>
          <w:sz w:val="24"/>
          <w:szCs w:val="24"/>
          <w:lang w:eastAsia="ru-RU"/>
        </w:rPr>
        <w:lastRenderedPageBreak/>
        <w:t>Ардатовский районы, обеспечивает выход в Чувашскую республику, подъезд к селу Тетюши, подъезд к деревне Чебудасы, автодорога с твердым покрытием «с.Бол. Манадыши – с.Тетюши - р.п.Атяшево». Большеманадышский сельсовет имеет благоприятные  условия для  осуществления внешних связей со столицей Республики Мордовия. Одним из существенных недостатков основных дорог района является прохождение их через населенные пункты, так как исторически сложившиеся направления большинства дорог практически не подвергались изменениям при реконструкции, транзитные потоки следуют по центральным улицам населенных пунктов, увеличивая число дорожно - транспортных происшествий и ухудшая экологическую обстановку. Общая протяженность существующей сети  автомобильных  дорог с асфальтовым покрытием составляет – 10,1 км, дороги внутри сел требуют ремонта. В сельском поселении эксплуатируется три моста на автодороге «п.г.т.Комсомольский - р.п.Атяшево – г.Ардатов – Тургенево», один мост в селе Тетюши на автодороге с твердым покрытием «с.Бол. Манадыши – с.Тетюши - р.п.Атяшево». Имеется три пешеходных моста  в деревне Чебудасы, в селе Бол. Манадыши и южнее села Тетюши. Остановки общественного транспорта находятся по автодороге «п.г.т.Комсомольский - р.п.Атяшево – г.Ардатов – Тургенево» на юге деревни Чебудасы, в селе Бол. Манадыши на улице Пролетарская и на северо-восточной границе села, на пересечении с подъездом к селу Тетюши, в селе Тетюши на улице Ленина на автодороге с твердым покрытием «с.Бол. Манадыши – с.Тетюши - р.п.Атяшево».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Согласно постановлению Правительства Республики Мордовии от 16 марта 2009г. №100 все автомобильные дороги, носящие подъездной характер до населенных пунктов на территории района, являются дорогами регионального и межмуниципального 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Автодорога с твердым покрытием III категории  «п.г.т.Комсомольский - р.п.Атяшево – г.Ардатов – Тургенево», подъезд к селу Тетюши, подъезд к деревне Чебудасы, автодорога с твердым покрытием «с.Бол. Манадыши – с.Тетюши - р.п.Атяшево» относятся к автодорогам Муниципального подчинения.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Хорошо развитая транспортная система благоприятствует бесперебойному въезду и выезду и обеспечению сельского поселения необходимыми ресурсами.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Основным видом транспорта на территории Большеманадышского сельского поселения является автомобильный, имеется и автобусное сообщение. Услугами пассажирского транспорта жители пользуются ежедневно. Пассажирские перевозки из сёл муниципального образования производятся автобусами Атяшевского АТП. Грузовые перевозки осуществляются частным автотранспортом.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 территории Большеманадышского сельского поселения в северо-восточном направлении проходит однопутная железнодорожная линия в направлении Алатырь-Казань. На железной дороге располагается железнодорожная станция, имеется железнодорожный переезд.  Узловая железнодорожная станция находится в р.п. Атяшево.</w:t>
      </w:r>
    </w:p>
    <w:p w:rsidR="00847D6E" w:rsidRPr="00847D6E" w:rsidRDefault="00847D6E" w:rsidP="00847D6E">
      <w:pPr>
        <w:spacing w:after="0" w:line="360" w:lineRule="auto"/>
        <w:ind w:right="278"/>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3.1.7. Инженерное обеспечение территории</w:t>
      </w:r>
    </w:p>
    <w:p w:rsidR="00847D6E" w:rsidRPr="00847D6E" w:rsidRDefault="00847D6E" w:rsidP="00847D6E">
      <w:pPr>
        <w:spacing w:before="150" w:after="280" w:line="360" w:lineRule="auto"/>
        <w:ind w:left="150" w:right="150"/>
        <w:rPr>
          <w:rFonts w:ascii="Times New Roman" w:eastAsia="Times New Roman" w:hAnsi="Times New Roman" w:cs="Times New Roman"/>
          <w:lang w:eastAsia="ru-RU"/>
        </w:rPr>
      </w:pPr>
      <w:r w:rsidRPr="00847D6E">
        <w:rPr>
          <w:rFonts w:ascii="Arial" w:eastAsia="Times New Roman" w:hAnsi="Arial" w:cs="Arial"/>
          <w:color w:val="516062"/>
          <w:lang w:eastAsia="ru-RU"/>
        </w:rPr>
        <w:t> </w:t>
      </w:r>
    </w:p>
    <w:p w:rsidR="00847D6E" w:rsidRPr="00847D6E" w:rsidRDefault="00847D6E" w:rsidP="00847D6E">
      <w:pPr>
        <w:shd w:val="clear" w:color="auto" w:fill="FFFFFF"/>
        <w:spacing w:after="0" w:line="240" w:lineRule="auto"/>
        <w:ind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Атяшевский район республики Мордовия относится к благоприятным территориям по обеспеченности энергоснабжением, газоснабжением. Преобладающее значение оценочных факторов получают инженерные системы </w:t>
      </w:r>
      <w:r w:rsidRPr="00847D6E">
        <w:rPr>
          <w:rFonts w:ascii="Arial" w:eastAsia="Times New Roman" w:hAnsi="Arial" w:cs="Arial"/>
          <w:sz w:val="24"/>
          <w:szCs w:val="24"/>
          <w:lang w:eastAsia="ru-RU"/>
        </w:rPr>
        <w:lastRenderedPageBreak/>
        <w:t>системообразующего характера, то есть центральные магистрали электроснабжения (напряжением 500, 220, 110 кВ) и магистральные газопроводы, подводящие ресурсы жизнеобеспечения к населенным пунктам от соответствующих головных сооружений и распределительных станций на территории района. На схемах графической части проекта приведена оценка обеспеченности территории газоснабжением, электроснабжением, инженерными сооружениями.</w:t>
      </w:r>
    </w:p>
    <w:p w:rsidR="00847D6E" w:rsidRPr="00847D6E" w:rsidRDefault="00847D6E" w:rsidP="00847D6E">
      <w:pPr>
        <w:keepNext/>
        <w:shd w:val="clear" w:color="auto" w:fill="FFFFFF"/>
        <w:spacing w:after="0" w:line="240" w:lineRule="auto"/>
        <w:ind w:firstLine="709"/>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Энергоснабжение</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территории сельского поселения проходят  линии  электропередач  ВЛ-10кВ, ВЛ-110кВ.</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Электроснабжение населенных пунктов осуществляется через 15 понижающих трансформаторных подстанций на напряжении 10/4кВ, которые полностью обеспечивают электроэнергией села и производственные центры.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Трансформаторные подстанции размещены с учетом максимально  возможного приближения их к центрам нагрузок.</w:t>
      </w:r>
    </w:p>
    <w:p w:rsidR="00847D6E" w:rsidRPr="00847D6E" w:rsidRDefault="00847D6E" w:rsidP="00847D6E">
      <w:pPr>
        <w:keepNext/>
        <w:shd w:val="clear" w:color="auto" w:fill="FFFFFF"/>
        <w:spacing w:after="0" w:line="240" w:lineRule="auto"/>
        <w:ind w:firstLine="709"/>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Водоснабжение</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Целью развития систем водоснабжения и водоотведения Республики Мордовии является улучшение состояния здоровья людей и оздоровление социально-экологической обстановки за счет обеспечения населения в достаточном количестве питьевой водой нормативного качества при условии соблюдении требований охраны и рационального использования источников питьевого водоснабжения.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Источником централизованного водоснабжения  Большеманадышского сельского поселения являются ресурсы поверхностных и подземных вод добываемые из глубинных водоносных горизонтов.</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территории муниципального образования в селе Большие Манадыши имеется артезианская скважина и располагаются три водонапорные башни, из них работает одна на территории МТФ, две для населения, (Приложение, таблица 18,19). В селе проложен водопровод по левой стороне улиц вдоль домов с подводкой к домам. В настоящее время состояние водопроводной сети неудовлетворительное, изношенность составляет 98%, требуется провести капитальный ремонт. В селе Тетюши располагается одна водонапорная башня, водопроводная сеть  проложена по улице с подводкой к домам. В деревне Чебудасово по улице проведена водопроводная сеть. Схема водоснабжения следующая: вода из источников подается в водонапорные башни, затем в разводящую сеть к потребителям. Для хозяйственных целей население использует воду прудов и рек. Пруды имеют земляные плотины. Для водопоя скота используются речки.</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Фактические потребители  воды: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частный сектор</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предприятия здравоохранения, культуры;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образование.</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с/х предприятия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торговля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Тушение пожаров производиться из гидрантов водопроводной сети. Противо-пожарные запасы предусмотрено хранить в резервуарах. Для тушения пожаров также предлагается использование естественных открытых водоёмов.</w:t>
      </w:r>
    </w:p>
    <w:p w:rsidR="00847D6E" w:rsidRPr="00847D6E" w:rsidRDefault="00847D6E" w:rsidP="00847D6E">
      <w:pPr>
        <w:keepNext/>
        <w:shd w:val="clear" w:color="auto" w:fill="FFFFFF"/>
        <w:spacing w:after="0" w:line="240" w:lineRule="auto"/>
        <w:ind w:firstLine="709"/>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Газоснабжение</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Система газоснабжения Атящевского района представлена газопроводом – отводом от магистрального газопровода высокого давления (5,5 Мпа) МГВД «Петровск (Саратовская область) – Арзамас» который проходит по территории Большеманадышского сельского поселения вдоль южной </w:t>
      </w:r>
      <w:r w:rsidRPr="00847D6E">
        <w:rPr>
          <w:rFonts w:ascii="Arial" w:eastAsia="Times New Roman" w:hAnsi="Arial" w:cs="Arial"/>
          <w:sz w:val="24"/>
          <w:szCs w:val="24"/>
          <w:lang w:eastAsia="ru-RU"/>
        </w:rPr>
        <w:lastRenderedPageBreak/>
        <w:t>стороны полосы отвода автодороги «п.г.т.Комсомольский - р.п.Атяшево – г.Ардатов – Тургенево».</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сёлах Большеманадышского сельского поселения построен газопровод и выполнены работы по разводке трассы газопровода по всем улицам протяженностью в селе Большие Манадыши 12,2 км, в селе Тетюши 4,5 км, в деревне Чебудасы 3,5 км. На территории муниципальных образований Республики Мордовия планируется строительство межпоселковых газораспределительных сетей на 2008-2015 для достижения 100 % газификации республики. В населенных пунктах Большеманадышского сельского поселения генпланом  предлагается продолжить работы с населением по газификации частных домовладений, что улучшит благосостояние населения.</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Телефонизация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территории сельского поселения вдоль автодорог «п.г.т.Комсомольский- р.п.Атяшево–г.Ардатов–Тургенево» проходит магистральный оптико-волоконный кабель, в который включена опорно-транзитная станция «Элком», расположенная в р.п. Атяшево, по технологии SDX уровня STM-4. С помощью имеющегося оборудования есть возможность организовать качественное предоставление услуг телефонной связи, предоставление высокоскоростного доступа в сеть Интернет. С приходом новых технологий связи, население сельского поселения во многих домах имеет сотовую связь (MegaFon, ПСС). Телефонная связь с районным центром имеется во всех населенных пунктах. В селе Большие Манадыши имеется автоматическая телефонная станция, установлен таксофон, в селе Тетюши и в деревне Чебудасы имеются автоматические телефонные станции (Приложение, таблица 17). На территории муниципального образования следует продолжить подключение стационарных телефонов в частный сектор, поддерживать качественное обслуживание телефонной.</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Теплоснабжение</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Централизованное теплоснабжение в населенных пунктах Большеманадышского сельского поселения отсутствует. Газифицированные домовладения в селах отапливаются газом. (Приложение, таблица 16). В селе Большие Манадыши  установлена котельная севернее административного здания, которая обслуживает школу, магазины, столовую, гаражи, СДК, административные здания.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jc w:val="both"/>
        <w:rPr>
          <w:rFonts w:ascii="Times New Roman" w:eastAsia="Times New Roman" w:hAnsi="Times New Roman" w:cs="Times New Roman"/>
          <w:sz w:val="28"/>
          <w:szCs w:val="28"/>
          <w:lang w:eastAsia="ru-RU"/>
        </w:rPr>
      </w:pP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3.1.8.Охрана окружающей среды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Современное экологическое состояние территории Атяшевского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соответствии с экологическим районированием Республики Мордовия Атяшевский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предприятий, и локальными разработками месторождений полезных ископаемых.</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Основными экологическими проблемами являются: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частичное загрязнение водных объектов;</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локальные случаи применения ядохимикатов;</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необходимость проведения работ по организации водоохранных зон;</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несанкционированное размещение твердых бытовых отходов.</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целях охраны окружающей среды, улучшения экологического состояния территории Большеманадышского сельского поселения устанавливаются  водоохранные зоны, санитарно – защитные зоны, охранные зоны вокруг объектов, требующих особое внимание, зоны санитарной охраны. 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Земельные участки, обремененные ограничениями по их хозяйственному использованию в сельском поселении, состоят из территорий водоохранных зон и прибрежных полос рек; лесов, выполняющих защитные функции; охранных зон линий электропередач, охранных зон магистральных трубопроводов; зон санитарной охраны источников водоснабжения.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Большеманадышского сельского поселения особо охраняемых территорий нет.</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Объекты культурного наследия на территории Большеманадышского сельского поселения в основном расположены в населенных пунктах и представлены памятниками истории - памятники воинам участникам в Великой Отечественной войне, памятниками градостроительства и архитектуры – строениями церкви. Охранные зоны для объектов культурного наследия не установлены.</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Для предотвращения загрязнения водных объектов Большеманадышского сельского поселения необходимо установление водоохранных зон и прибрежных защитных полос,  в соответствии с разделом «Водоохранные зоны, прибрежные защитные и береговые полосы» региональных нормативов градостроительного проектирования Республики Мордовия.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Водоохранные зоны рек включают поймы, надпойменные террасы, бровки и крутые склоны коренных берегов, а также овраги и балки, непосредственно впадающие в речную долину или озерную котловину. В пределах водоохранных зон выделяются прибрежные защитные полосы, на территории которых вводятся дополнительные ограничения использования.</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Размеры водоохранных зон и прибрежных защитных полос, а также режимы их использования устанавливаются в соответствии с пунктами 5.3.12.   5.3.22. региональных нормативов градостроительного проектирования Республики Мордовия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Размеры водоохранных зон водных объектов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tbl>
      <w:tblPr>
        <w:tblW w:w="0" w:type="auto"/>
        <w:tblCellSpacing w:w="0" w:type="dxa"/>
        <w:tblCellMar>
          <w:left w:w="0" w:type="dxa"/>
          <w:right w:w="0" w:type="dxa"/>
        </w:tblCellMar>
        <w:tblLook w:val="04A0" w:firstRow="1" w:lastRow="0" w:firstColumn="1" w:lastColumn="0" w:noHBand="0" w:noVBand="1"/>
      </w:tblPr>
      <w:tblGrid>
        <w:gridCol w:w="4619"/>
        <w:gridCol w:w="4317"/>
      </w:tblGrid>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Протяженность участков рек, км</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Ширина водоохранных зон, м</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от истока до 10 км</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50</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от10 км до 50 км</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100</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от 50 км и более</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200</w:t>
            </w:r>
          </w:p>
        </w:tc>
      </w:tr>
    </w:tbl>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Ширина прибрежных защитных полос устанавливается в зависимости от крутизны склонов, прилегающих территорий.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Размер прибрежной защитной полосы.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tbl>
      <w:tblPr>
        <w:tblW w:w="0" w:type="auto"/>
        <w:tblCellSpacing w:w="0" w:type="dxa"/>
        <w:tblCellMar>
          <w:left w:w="0" w:type="dxa"/>
          <w:right w:w="0" w:type="dxa"/>
        </w:tblCellMar>
        <w:tblLook w:val="04A0" w:firstRow="1" w:lastRow="0" w:firstColumn="1" w:lastColumn="0" w:noHBand="0" w:noVBand="1"/>
      </w:tblPr>
      <w:tblGrid>
        <w:gridCol w:w="4145"/>
        <w:gridCol w:w="5210"/>
      </w:tblGrid>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Уклон берега водного объекта</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Ширина прибрежной защитной полосы, м</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Обратный и нулевой уклон</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30</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До 30</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40</w:t>
            </w:r>
          </w:p>
        </w:tc>
      </w:tr>
      <w:tr w:rsidR="00847D6E" w:rsidRPr="00847D6E" w:rsidTr="00847D6E">
        <w:trPr>
          <w:tblCellSpacing w:w="0" w:type="dxa"/>
        </w:trPr>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30 и более</w:t>
            </w:r>
          </w:p>
        </w:tc>
        <w:tc>
          <w:tcPr>
            <w:tcW w:w="0" w:type="auto"/>
            <w:vAlign w:val="center"/>
            <w:hideMark/>
          </w:tcPr>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50</w:t>
            </w:r>
          </w:p>
        </w:tc>
      </w:tr>
    </w:tbl>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Поддержание в надлежащем состоянии водоохранных зон и прибрежных защитных полос рек, с соблюдением режима использования их территорий в сельском поселении возложены на юридические и физические лица  в пользовании, собственности, владении которых находятся земельные участки, расположенные в пределах водоохранных зон и прибрежных полос.</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Согласно Водному Кодексу Российской Федерации от 03.06.2006 года №74-ФЗ и в соответствии с разделом «Водоохранные зоны, прибрежные защитные  и береговые полосы» региональных нормативов градостроительного проектирования Республики Мордовия установлены  водоохранные зоны и ширина прибрежной защитной полосы для реки Вечерлейка,  для ручья Вечерлей, а также для прудов – 50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пределах водоохранных зон запрещается: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проведение авиационно химических работ;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-размещение складов ядохимикатов, минеральных удобрений и горюче смазочных материалов, площадок для заправки аппаратуры ядохимикатами, животноводческих комплексов и ферм, мест складирования и захоронения промышленных, бытовых и сельскохозяйственных отходов, кладбищ и скотомогильников, накопителей сточных 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складирование навоза и мусора;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заправка топливом, мойка и ремонт автомобилей и других машин и механизмов;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-проведение рубок главного пользования;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-строительство новых и расширение действующих промышленных и сельско хозяйственных объектов;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-проведение без согласования с территориальными органами управления использованием и охраной водного фонда Российской Федерации и специально уполномоченными государственными органами в области охраны окружающей среды реконструкции зданий, сооружений, коммуникаций и других объектов, а также работ по добыче полезных ископаемых, землеройных и других работ.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пределах защитных прибрежных полос дополнительно к ограничениям, перечисленным выше, запрещается: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-распашка земель;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-применение удобрений;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-складирование отвалов размываемых грунтов;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-выпас и организация летних лагерей скота;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-установка сезонных палаточных городков, размещение дачных и садово огородных участков, выделение участков под индивидуальное строительство;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-движение автотранспорта, кроме автомобилей специального назначения.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Участки земель в пределах прибрежных защитных полос могут быть предоставлены для размещения объектов водоснабжения, рекреации, рыбного и охотничьего хозяйства на водопользование, в которых устанавливаются требования по соблюдению водоохранного режима.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Соблюдение специального режима на территории водоохранных зон является составной частью комплекса природоохранных мер по улучшению гидрологического, гидрохимического, гидробиологического, санитарного и экологического состояния водных объектов и благоустройству их прибрежных территорий.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состав земель сельского поселения занятых охранными полосами (зонами инженерных, транспортных и других сооружений и объектов сельского поселения) включены охранные зоны ЛЭП; охранные зоны магистральных трубопроводов; санитарно-защитные зоны кладбищ, скотомогильников.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Производственные зоны Большеманадышского сельского поселения находятся в черте населенных пунктов. На юго-западе села Большие Манадыши размещается молочно товарная ферма на 1466 голов крупного рогатого скота.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Согласно санитарно-эпидемиологических правил и нормативов СанПиН 2.2.1/2.1.1.1200-03 Утвержденных Постановлением Главного государственного санитарного  врача  РФ от 25.09.2007 года № 74, регистрационный №10995 (с изменениями от 10.04.2008г.) и пункта 7.2.7. региональных нормативов градостроительного проектирования Республики Мордовия санитарно защитные зоны устанавливаются: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Санитарно-защитная зона – 50 м для сельских кладбищ.</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Санитарно – защитная зона - 100 м  для складов и открытых мест разгрузки зерна.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 Санитарно - защитная зона – 300 м  для гаражей  и парка по ремонту, технологическому обслуживанию и хранению грузовых автомобилей и сельскохозяйственной техники.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Санитарно – защитная  зона  - 100 м для складов горюче – смазочных материалов;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Санитарно - защитная зона – 500 м для ферм крупного рогатого скота от 1200 голов до 2000 коров.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Санитарно – защитная зона –50 м для материальных складов.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Санитарно – защитная зона – 1000 м  для скотомогильников с захоронением в ямах, 500 м для скотомогильников с биологическими камерами, 1000 м от недействующих (закрытых) скотомогильников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Согласно правилам охраны линий и сооружений связи Российской Федерации, утвержденных Постановлением Правительства Российской Федерации от 9 июня 1995г. №578, охранная зона вдоль трассы кабеля связи не менее чем на 2 метра с каждой стороны.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Ширина минимального расстояния от газопровода высокого давления до фундаментов зданий и сооружений, устанавливается в размере 7 метров от оси газопровода в соответствии со СниП 2.07.01-89 «Градостроительство. Планировка и застройка городских и сельских поселений».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соответствии с «Правилами охраны магистральных трубопроводов», утвержденными постановлением Госгортехнадзора России от 22.04 92  № 9  охранные зоны составляют: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вдоль трасс трубопроводов, транспортирующих природный газ –  в виде участка земли, ограниченного условными линиями, проходящими в 25 м от оси трубопровода с каждой стороны.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Размеры охранных зон для объектов газораспределительной сети и условия использования земельных участков, расположенных в их пределах, определяются Правилами охраны газораспределительных сетей, утвержденными Постановлением Правительства Российской Федерации от 20.11.2000 г. № 878.(стр131НГП)</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Земельные участки, входящие в охранные зоны трубопроводов, не изымаются у землепользователей и используются ими для проведения сельскохозяйственных работ с обязательным соблюдением Настоящих Правил.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охранных зонах трубопроводов запрещается: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перемещать, ломать опознавательные знаки, контрольно-измерительные пункты;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открывать люки, калитки, двери необслуживаемых усилительных пунктов кабельной связи, станции катодной защиты, открывать и закрывать краны и задвижки;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устраивать всякого рода свалки, разводить огонь и размещать какие-либо открытые или закрытые источники огня.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сельского поселения размещены электрические сети  ВЛ10 кВ, ВЛ110 кВ.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целях защиты населения от воздействия электрического поля, создаваемого воздушными линиями электропередачи (ВЛ), устанавливаются санитарные разрывы – территория вдоль трассы высоковольтной линии, в которой напряженность электрического поля превышает 1 кВ/м.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Согласно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утвержденных постановлением  Правительства РФ от 24 февраля 2009 г. №160 устанавливаются охранные зоны вдоль воздушных линий электропередачи по </w:t>
      </w:r>
      <w:r w:rsidRPr="00847D6E">
        <w:rPr>
          <w:rFonts w:ascii="Arial" w:eastAsia="Times New Roman" w:hAnsi="Arial" w:cs="Arial"/>
          <w:sz w:val="24"/>
          <w:szCs w:val="24"/>
          <w:lang w:eastAsia="ru-RU"/>
        </w:rPr>
        <w:lastRenderedPageBreak/>
        <w:t>обе стороны от крайних проводов на расстоянии для   ВЛ 1 кВ - 20 кВ – 10 м, ВЛ 110кВ – 20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охранных зонах электрических сетей запрещается осуществлять любые действия, которые могут нарушить безопасную работу электросетевого хозяйства, в том числе привести к их повреждению или уничтожению и (или) повлечь причинение вреда жизни, здоровью граждан, имуществу физических или юридических лиц; производить строительство, снос, реконструкцию зданий и сооружений; осуществлять всякого рода взрывные, мелиоративные, землеройные работы; производить посадку и вырубку деревьев и кустарников; устраивать загоны для скота, располагать полевые станы, совершать проезд машин и механизмов, имеющих высоту с грузом или без груза от поверхности дороги более 4,5 м, размещать хранилища горюче-смазочных материалов, всякого рода свалки, разводить огонь, складировать корма, удобрения, солому, дрова и другие материалы.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Согласно Санитарных правил и норм  СанПиН 2.1.4.1110-02. «Зоны санитарной охраны источников водоснабжения и водопроводов питьевого назначения», утвержденных Постановлением Главного государственного санитарного  врача  РФ от 14.03.2002 г. №10, регистрационный №3399, зона санитарной охраны подземных  водозаборов – от 30 до 50 метров.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зоне  санитарной охраны подземных водозаборов запрещается: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применение удобрений и ядохимикатов;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размещение кладбищ, скотомогильников, полей фильтрации, навозохранилищ, силосных траншей, животноводческих траншей и других объектов, обусловливающих опасность микробного загрязнения подземных 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пределах санитарно-защитной полосы водоводов должны отсутствовать источники загрязнения почвы и грунтовых 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Экология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Экологическая ситуация на территории сельского поселения в целом благоприятная. Имеющиеся загрязнения среды обитания носят локальный характер и, как правило, не достигают опасных значений.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Основными экологическими проблемами являются частичное загрязнение водных объектов, локальные случаи применения ядохимикатов, необходимость проведение работ по организации водоохранных зон, несанкционированное размещение твердых бытовых отходов.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 степени влияния на здоровье человека основным фактором состояния среды является загрязнение атмосферного воздуха.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Так как основным видом деятельности является сельское хозяйство, то загрязнение атмосферного воздуха связано, большей частью, именно с этой отраслью.</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Источниками вредных выбросов в атмосферу являются также объекты теплоснабжения, энергетики, транспортной инфраструктуры, производственные объекты,  авто- и железнодорожный транспорт.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Загрязняющими веществами атмосферного воздуха на территории являются взвешенные вещества, диоксид азота, оксид углерода, формальдегид, свинец, оксид серы, углеводороды, сажа.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 уровню загрязнения вод в реках, качество воды в водных объектах изменяется от «умеренно загрязненных» до «очень грязных». Основными источниками загрязнения поверхностных вод являются сельскохозяйственные предприятия.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На территории активно используются подземные воды родников и колодцев, а качество их в большинстве случаев неизвестно. Единичное </w:t>
      </w:r>
      <w:r w:rsidRPr="00847D6E">
        <w:rPr>
          <w:rFonts w:ascii="Arial" w:eastAsia="Times New Roman" w:hAnsi="Arial" w:cs="Arial"/>
          <w:sz w:val="24"/>
          <w:szCs w:val="24"/>
          <w:lang w:eastAsia="ru-RU"/>
        </w:rPr>
        <w:lastRenderedPageBreak/>
        <w:t>опробование родников и колодцев в пределах населенных пунктов показывают на значительное загрязнение подземных 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Почвы сельского поселения отличаются неблагоприятными физико химическими свойствами. Почти повсеместно сохраняется тенденция деградации почвенного покрова, отражающаяся на продуктивности земель.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 и как следствие, отражается на качестве сельхозпродукции.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67"/>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jc w:val="center"/>
        <w:rPr>
          <w:rFonts w:ascii="Times New Roman" w:eastAsia="Times New Roman" w:hAnsi="Times New Roman" w:cs="Times New Roman"/>
          <w:sz w:val="24"/>
          <w:szCs w:val="24"/>
          <w:lang w:eastAsia="ru-RU"/>
        </w:rPr>
      </w:pP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i/>
          <w:iCs/>
          <w:sz w:val="24"/>
          <w:szCs w:val="24"/>
          <w:lang w:eastAsia="ru-RU"/>
        </w:rPr>
        <w:t> </w:t>
      </w:r>
      <w:r w:rsidRPr="00847D6E">
        <w:rPr>
          <w:rFonts w:ascii="Arial" w:eastAsia="Times New Roman" w:hAnsi="Arial" w:cs="Arial"/>
          <w:b/>
          <w:bCs/>
          <w:sz w:val="24"/>
          <w:szCs w:val="24"/>
          <w:lang w:eastAsia="ru-RU"/>
        </w:rPr>
        <w:t>3.1.9. Инженерно – технические мероприятия предупреждения чрезвычайных ситуаций природного и техногенного характера  и гражданской обороны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Инженерно-технические мероприятия гражданской обороны и предупреждения чрезвычайных ситуаций (ИТМ ГОЧС) - совокупность реализуемых при строительстве проектных решений, направленных на обеспечение защиты населения и территории и снижение материального ущерба от чрезвычайных ситуаций природного и техногенного характера, от опасностей, возникающих при ведении военных действия или вследствие этих действий, а также диверсиях.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Чрезвычайная ситуация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жизнедеятельности людей, возникает угроза их жизни и здоровью, наносится ущерб имуществу населению, народному хозяйству и окружающей природной среде. Различают чрезвычайные ситуации по характеру источника: природные, техногенные, биолого-социальные и военные и по масштабам: локальные, местные, территориальные, региональные, федеральные и трансграничные.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Основными природными и техногенными опасностями, имеющими наибольшую вероятность перехода в чрезвычайную ситуацию, являются (в порядке убывания риска возникновения):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природные – агрометеорологические, метеорологические, гидрологические и геологические опасности;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техногенные – аварии на транспорте, взрывопожароопасность, химическая опасность.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Могут возникнуть пожары в жилой и производственных зонах, при прорывах межпоселкового газопроводов возможны взрывы; могут возникнуть пожары при перевозке ГСМ. Один раз в год возможны сильные снегопады, вызывающие снежные заносы на дорогах, обледенение проводов линий электропередачи и их обрыв, нарушение движения автотранспорта. В результате всего этого возможны нарушения в жизнеобеспечении деятельности населения, материальные потери.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Чрезвычайные  ситуации  природного  характера обусловлены климатическими особенностями региона, интенсивностью геологических процессов, гидрологических и агрометеорологических явлений.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Природные чрезвычайные ситуации, обусловленные возникновением метеорологических (атмосферных) явлений выражаются ураганами, шквальными ветрами, градом, ливнями, сильными снегопадами, метелями, морозами, сильным повышением температуры, гололёдом.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Статистическая обработка сведений о ЧС природного происхождения за последние 8 лет выявила стабильную тенденцию ежегодного возникновения 1-2 чрезвычайные ситуации  природного характера.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Учитывая многолетние наблюдения за метеорологически опасными явлениями, инициирующими ЧС рассматриваемого типа, а также цикличность в их проявлении, можно предположить, что количество таких ЧС не изменится и на последующий период и составит 2-3 происшествия в год.</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bookmarkStart w:id="6" w:name="_Toc209256145"/>
      <w:r w:rsidRPr="00847D6E">
        <w:rPr>
          <w:rFonts w:ascii="Arial" w:eastAsia="Times New Roman" w:hAnsi="Arial" w:cs="Arial"/>
          <w:b/>
          <w:bCs/>
          <w:sz w:val="24"/>
          <w:szCs w:val="24"/>
          <w:lang w:eastAsia="ru-RU"/>
        </w:rPr>
        <w:t>Геологически опасные явления</w:t>
      </w:r>
      <w:bookmarkEnd w:id="6"/>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территории Большеманадышского сельского поселения наблюдаются следующие опасные экзогенные геологические процессы: подтопление грунтовыми водами, оползни, обвалы, переработка берега, овраго-образование. карстовые провалы, повышение уровня грунтовых вод. Наибольшую опасность представляют оползневые и эрозионные процессы.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Анализ чрезвычайных ситуаций и предпосылок их возникновения показывает, что названные явления могут возникнуть практически в любой момент при осложнении ряда природных факторов на территории поселения. Такие оползневые процессы наблюдаются в селе Большие Манадыши на улице Первомайская.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Характерным из гидрологически чрезвычайных ситуаций является половодье. 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способствует развитию </w:t>
      </w:r>
      <w:r w:rsidRPr="00847D6E">
        <w:rPr>
          <w:rFonts w:ascii="Arial" w:eastAsia="Times New Roman" w:hAnsi="Arial" w:cs="Arial"/>
          <w:sz w:val="24"/>
          <w:szCs w:val="24"/>
          <w:lang w:eastAsia="ru-RU"/>
        </w:rPr>
        <w:lastRenderedPageBreak/>
        <w:t>оползневых процессов на крутых склонах практически всех рек, как крупных, так и малых.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Чрезвычайные  ситуации   техногенного  характера Основными источниками территориального техногенного воздействия являются аварии на транспорте, объекты жилищно-коммунального хозяйства (ЖКХ) и агропромышленного комплекса, взрывопожароопасность, химическая опасность, остается высокая аварийность на транспортных системах (трубопроводы, железная дорога, ДТП и др.);</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К техногенным пожарам, возникновение которых возможно на территории поселения, относятся лесные пожары и пожары хлебных массивов. В соответствии с климатическими особенностями региона, период с апреля по октябрь месяц является пожароопасным сезоном. Исходя из среднестатистических устойчивых высоких температур, в период с мая по июль прогнозируется 4-5 класс пожарной опасности.</w:t>
      </w:r>
      <w:r w:rsidRPr="00847D6E">
        <w:rPr>
          <w:rFonts w:ascii="Times New Roman" w:eastAsia="Times New Roman" w:hAnsi="Times New Roman" w:cs="Times New Roman"/>
          <w:noProof/>
          <w:sz w:val="24"/>
          <w:szCs w:val="24"/>
          <w:lang w:eastAsia="ru-RU"/>
        </w:rPr>
        <mc:AlternateContent>
          <mc:Choice Requires="wps">
            <w:drawing>
              <wp:inline distT="0" distB="0" distL="0" distR="0">
                <wp:extent cx="304800" cy="304800"/>
                <wp:effectExtent l="0" t="0" r="0" b="0"/>
                <wp:docPr id="2" name="Прямоугольник 2" descr="Якорь"/>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0C84ED" id="Прямоугольник 2" o:spid="_x0000_s1026" alt="Якорь"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aYdumukCAADbBQAADgAAAAAAAAAA&#10;AAAAAAAuAgAAZHJzL2Uyb0RvYy54bWxQSwECLQAUAAYACAAAACEATKDpLNgAAAADAQAADwAAAAAA&#10;AAAAAAAAAABDBQAAZHJzL2Rvd25yZXYueG1sUEsFBgAAAAAEAAQA8wAAAEgGAAAAAA==&#10;" filled="f" stroked="f">
                <o:lock v:ext="edit" aspectratio="t"/>
                <w10:anchorlock/>
              </v:rect>
            </w:pict>
          </mc:Fallback>
        </mc:AlternateConten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Анализ чрезвычайных ситуаций показал, что основную долю пожаров составляют пожары, происходящие на объектах экономики, объектах социально культурного и бытового назначения, в жилом секторе, как правило, их количество возрастает с наступлением холодов. К основным причинам возгорания относятся: неосторожное обращение с огнем и нарушение правил пожарной безопасности при эксплуатации электроприборов, оборудования и печей.</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Аварии на взрывопожароопасных объектах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К числу взрывопожароопасных объектов относятся предприятия и объекты производящие, использующие, хранящие или транспортирующие горючие и взрывоопасные вещества: предприятия химической, газовой, нефтеперерабатывающей, целлюлозно-бумажной, пищевой, лакокрасочной промышленности, все виды транспорта, перевозящего взрывопожароопасные вещества, топливозаправочные станции, газо-  нефте- и продуктопроводы.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Потенциально опасный объект </w:t>
      </w:r>
      <w:bookmarkStart w:id="7" w:name="_Ref204445748"/>
      <w:r w:rsidRPr="00847D6E">
        <w:rPr>
          <w:rFonts w:ascii="Arial" w:eastAsia="Times New Roman" w:hAnsi="Arial" w:cs="Arial"/>
          <w:sz w:val="24"/>
          <w:szCs w:val="24"/>
          <w:lang w:eastAsia="ru-RU"/>
        </w:rPr>
        <w:t xml:space="preserve">(ПОО) на территории Большеманадышского сельского поселения </w:t>
      </w:r>
      <w:bookmarkEnd w:id="7"/>
      <w:r w:rsidRPr="00847D6E">
        <w:rPr>
          <w:rFonts w:ascii="Arial" w:eastAsia="Times New Roman" w:hAnsi="Arial" w:cs="Arial"/>
          <w:sz w:val="24"/>
          <w:szCs w:val="24"/>
          <w:lang w:eastAsia="ru-RU"/>
        </w:rPr>
        <w:t>котельная. К числу взрыво  и пожароопасных объектов (ВПО) относятся также автозаправочные станции (АЗС), газопровод, расположенный вдоль региональной автодороги.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территории поселения проходит железная дорога, по которой провозится до 150 наименований химически, взрывоопасных и ядовитых веществ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Наиболее опасный сценарий развития ЧС может иметь место при разрушении емкости авто- и железнодорожной цистерн при сливе ГСМ и составит 8 м3 и 60 м3. Эквивалентный радиус площади может составить до 31 м. Воздействию поражающих факторов могут подвергнуться весь персонал, находящийся на месте аварии, а также люди, попавшие в зону разлития ГСМ.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Наибольшую опасность представляют пожары при разрушении (разгерметизации) ж/д цистерны, образование взрывоопасной концентрации топливовоздушной смеси может возникнуть с вероятностью 0,1689. Радиус огневого шара при взрыве топливовоздушной смеси может составить до 89 м со временем существования 12 сек, скорость распространения пламени 150 м/сек, тепловой поток на кромке огневого шара – 130 кВт/м2. При образовании воздушной ударной волны от подобного взрыва могут получить разрушения здания и сооружения в радиусе 120 м, радиус зоны растекания может составить 1300 м. Количество погибших может достичь 51 человек.</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Аварии на автотранспорте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Основными причинами возникновения дорожно-транспортных происшествий в республике Мордовия являются: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нарушение правил дорожного движения;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неровное покрытие с дефектами, отсутствие горизонтальной разметки и ограждений на опасных участках;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недостаточное освещение дорог;</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качество покрытий – низкое сцепление, особенно зимой и др. факторы.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Подобные аварии, произошедшие вне населенных пунктов, наносят экологический ущерб окружающей среде, но они гораздо опаснее в населенных пунктах, где помимо загрязнения местности опасности подвергаются жизнь и здоровье людей. Поэтому остро ставится проблема обхода населенных пунктов.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пропуска по дорогам негабаритных и опасных грузов оформляются специальные разрешения и органами ГИБДД определяются маршруты и время перевозок.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Совершенствование и развитие сельских улиц и дорог способствует безопасности дорожного движения, предотвращению аварий и риска возникновения чрезвычайных ситуаций.</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Аварии на железнодорожном транспорте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территории Большеманадышского сельского поселения железнодорожная магистраль сообщением Красный Узел (Ромодановский район Республики Мордовия)–Канаш (Республика Чувашия), по которой провозится до 150 наименований химических, взрывоопасных и ядовитых веществ. Грузооборот железнодорожного транспорта составляет 400 тонн в сутки, за сутки проходит 5 единиц пассажирского состава и 15 единиц грузового. В районе железной дороги сохраняется вероятность возникновения аварий связанных со сходом подвижного состава с рельсов. Крупные аварии могут произойти на железной дороге, по которой перевозятся сильнодействующие, ядовитые вещества, где в любой точке могут возникнуть аварийные ситуации. Зона возможного поражения при аварии взрывоопасных объектов на железной дороге составляет 700 м в каждую сторону от железнодорожного полотна. Зона возможного химического заражения при аварии во время транспортировки аварийно химически опасных веществ (АХОВ) составляет 5000 м  в каждую сторону от железнодорожного полотна.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Достаточно высокую химическую и взрывопожарную опасность для населения и территории представляет магистральный трубопровод, транспортирующий природный газ, пересекающий территорию сельского поселения, котельная в селе Большие Манадыши. Практически на всех трубопроводах транспортируемый продукт содержит аварийно химически опасные вещества: сероводород и меркаптан. Значительная часть трубопроводов выработала свой ресурс, без принятия мер по их восстановлению в перспективе возможен резкий скачок аварийности в этой отрасли.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 Мероприятия по предотвращению и снижению последствий ЧС природного и техногенного характера.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по защите населения и территорий от воздействия чрезвычайных ситуаций природного и техногенного характера разрабатываются органами местного самоуправления Республики Мордовия  в соответствии с требованиями федерального закона «О защите населения и территорий от чрезвычайных ситуаций природного и техногенного характера» от 21.12.1998 г. № 68-ФЗ с учетом требований ГОСТ Р 22.0.07-95.</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по предотвращению и снижению последствий ЧС природного характера.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В сельском поселении необходимо проводить мероприятия по защите населенных пунктов, расположенных в пожарных зонах вблизи лесных массивов: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-создание на предприятиях, в лесах и лесничествах пунктов сосредоточения противопожарного оборудования и инвентаря;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-содержание в безопасном состоянии полос отводов магистральных трубопроводов, железных и автомобильных дорог, вдоль которых расположены лесные массивы;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осуществление контроля за посещением лесов и пребыванием в них граждан с целью отдыха, охоты, рыбной ловли;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-проведение противопожарного обустройства лесов, устройств подъездов к естественным водоемам для забора воды в местах массового отдыха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-осуществление государственного пожарного надзора за соблюдением гражданами требований и правил пожарной безопасности в лесах.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предотвращения развития чрезвычайных ситуаций природного характера необходимо проведение мероприятий по берегоукреплению опасных участков, отсыпке территорий подверженных затоплению паводковыми водами, а также проведение специальных инженерно технических мероприятий на участках возможного образования карстовых провалов, оползней.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соответствии с требованиями пункта 8.2.12 региональных нормативов градостроительного проектирования Республики Мордовия, при проектировании инженерной защиты от оползневых и обвальных процессов следует рассматривать целесообразность применения следующих мероприятий, и сооружений, направленных на предотвращение и стабилизацию этих процессов: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изменение рельефа склона в целях повышения его устойчивости;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регулирование стока поверхностных вод с помощью вертикальной планировки территории и устройства системы поверхностного водоотвода;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предотвращение инфильтрации воды в грунт и эрозионных процессов;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-искусственное понижение уровня подземных 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агролесомелиорация;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закрепление грунтов (в том числе армированием);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устройство удерживающих сооружений;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соответствии с пунктом 8.2.25 региональных нормативов градостроительного проектирования Республики Мордовия защита от подтопления должна включать: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защиту населения от опасных явлений, связанных с пропуском паводковых вод в весенне- осенний период, при половодье;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локальную защиту зданий, сооружений, грунтов оснований и защиту застроенной территории в целом;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водоотведение;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утилизацию (при необходимости очистки) дренажных 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по предотвращению и снижению последствий ЧС техногенного характера.    К доминирующим техногенным ЧС относятся: дорожно-транспортные происшествия с гибелью людей; пожары на производственных объектах, транспорта, социально-бытового и культурного назначения; в жилом секторе с гибелью людей; утечка АХОВ; аварии на магистральных и коммунальных газопроводах.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предотвращения чрезвычайных ситуаций на автотранспорте необходимо проведение следующего комплекса мероприятий: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устройство ограждений, разметка, установка дорожных знаков, улучшение освещения на автодорогах;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работа служб ГИБДД на дорогах за соблюдением скорости движения, особенно участках, пересекающих овраги;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комплекс мероприятий по предупреждению и ликвидации возможных экологических загрязнений при эксплуатации мостов и дорог (водоотвод с проезжей части, борьба с зимней скользкостью на мостах без применения хлоридов и песка, укрепление обочин на подходах к мостам, закрепление откосов насыпи, озеленение дорог).</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регулярная проверка состояния постоянных автомобильных мостов;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очистка дорог в зимнее время от снежных валов, сужающих проезжую часть и ограничивающих видимость.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предотвращения дорожно-транспортных происшествий на пересечении автомобильных дорог с железнодорожными путями настоящим проектом предусматривается перевод в статус охраняемых железнодорожный переезд на границе с р.п. Атяшево.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предотвращения чрезвычайных ситуаций на объектах транспортировки газа необходимо предусмотреть следующие мероприятия: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обеспечение санитарных разрывов и охранных зон от магистральных трубопроводов и газораспределительных пунктов, строгое соблюдение режима использования их территории;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совершенствование электрохимической защиты трубопроводного транспорта от коррозии;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организация дистанционного контроля за состоянием трубопроводов;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-формирование аварийных подразделений на предприятиях, обеспеченных соответствующими машинами и механизмами.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снижения последствий чрезвычайных ситуаций при авариях на химически опасных объектах проектом предлагается проведение ряда инженерно технических и организационных мероприятий: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случай аварии на химически опасном объекте (ХОО) должны быть предусмотрена возможность использования адсорбционных материалов, грунта, песка, шлака, отходов и побочных продуктов производства;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Необходимо проводить мероприятия, позволяющие исключить разлив опасных жидкостей, а в случае разлива, локализовать аварию:</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аварийных ситуациях необходимо предусмотреть возможность опорожнения особо опасных участков технологических схем в заглубленные емкости;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слив АХОВ в аварийные емкости следует предусматривать с помощью автоматического включения сливных систем при обязательном его дублировании устройством для ручного включения опорожнения опасных участков технологических систем;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химически опасном объекте (ХОО) следует предусматривать мероприятия на особый период по максимально возможному сокращению запасов и сроков хранения опасных веществ (ОВ);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-периодический контроль состояния оборудования, трубопроводов, контрольно-измерительных приборов, коммуникаций, поддержание их работоспособности;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точное выполнение плана графика предупредительных ремонтов и профилактических работ, соблюдение их объемов и правил проведения;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регулярная проверка соблюдения действующих норм и правил по промышленной безопасности;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своевременное выполнение предписаний Госгортехнадзора России и других надзорных органов;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регулярная проверка наличия и поддержания в готовности средств индивидуальной и коллективной защиты;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регулярное проведение тренировок по отработке действий персонала хранилищ АХОВ в аварийных ситуациях.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по предупреждению ЧС на железнодорожном  транспорте: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защита путей от снегозаносов и обледенения путем устройства лесонасаждений, постановкой постоянных заборов или переносных решетчатых щитов.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предотвращения ЧС  на взрывопожароопасных объектах определены общие организационные мероприятия: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совершенствование службы оповещения работников взрывопожароопасных предприятий и населения прилегающих районов о создавшейся ЧС и необходимых действиях работников и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содержание в полной готовности поддонов и обваловок емкостей, содержащих легко воспламеняющихся жидкостей (ЛВЖ);</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точное выполнение плана графика предупредительных ремонтов и профилактических работ, соблюдение их объемов и правил проведения;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регулярная проверка соблюдения действующих норм и правил по промышленной безопасности;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регулярное проведение тренировок по отработке действий всего персонала предприятия в случае ЧС.</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противопожарной охраны по защите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усиление противопожарных мероприятий в местах массового сосредоточения людей;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создание на предприятиях пунктов сосредоточения противопожарного оборудования и инвентаря;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содержание в безопасном состоянии полос отводов железных и автомобильных дорог, вдоль которых расположены лесные массивы;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проведение противопожарного обустройства лесов, устройство подъездов к естественным водоемам для забора воды в местах массового отдыха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осуществление государственного пожарного надзора за соблюдением гражданами требований и правил пожарной безопасности.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Общие требования к взрывопожароопасным объектам: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Хранить в складах (помещениях) вещества и материалы необходимо с учетом их пожароопасных физико-химических свойств (способность к окислению, самонагреванию и воспламенению при попадании влаги, соприкосновении с воздухом и т. р.п.).</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Баллоны с ГГ, емкости с ЛВЖ и ГЖ, а также аэрозольные упаковки должны быть защищены от солнечного и иного теплового воздействия.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Электрооборудование складов по окончании рабочего дня должно обесточиваться.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Дежурное освещение в помещениях складов, а также эксплуатация газовых плит, электронагревательных приборов и установка штепсельных розеток не допускается.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зданиях, расположенных на территории баз и складов, не разрешается проживание персонала и других лиц.</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В цеховых кладовых не разрешается хранение ЛВЖ и ГЖ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Не разрешается хранение горючих материалов или негорючих материалов в горючей таре в помещениях подвальных и цокольных этажей, не имеющих окон с приямками для дымоудаления, а также при сообщении общих лестничных клеток зданий с этими этажами.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Запрещается: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эксплуатация негерметичного оборудования и запорной арматуры; уменьшение высоты обвалования, установленной нормами проектирования;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эксплуатация резервуаров, имеющих перекосы и трещины, а также неисправные оборудование, контрольно-измерительные приборы, подводящие продуктопроводы и стационарные противопожарные устройства;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установка емкостей на горючее или трудногорючее основания;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переполнение резервуаров и цистерн;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отбор проб из резервуаров во время слива или налива нефтепродуктов;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слив и налив нефтепродуктов во время грозы.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обеспечения безопасности на взрывопожароопасных объектах рекомендуется проведение следующих инженерно-технических и организационно-технических мероприятий: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заземление технологического оборудования и коммуникаций для защиты от накопления и проявления статического электричества;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-оборудование резервуаров хранения нефтепродуктов: автоматической системой пожаротушения с пеногенераторами и сухими трубопроводами, ручными пеноподъемниками;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создание противопожарных водоемов, на территории или в непосредственной близости от объектов;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оборудование территории объектов пожарными гидрантами;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оборудование производственных площадок молниезащитой;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-оснастить производственные и вспомогательные здания объектов автоматической пожарной сигнализацией;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-обеспечить проезд механизированных средств пожаротушения;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-осуществлять постоянный контроль состояния противопожарного оборудования на территории промышленных площадок;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обеспечения своевременной локализации загорания, ведения контроля за соблюдением противопожарного режима, проведения профилактической работы рекомендуется создание добровольных пожарных команд (ДПК) из числа инженерно-технических работников, рабочих;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-при выполнении работ на территориях резервуарных парков или складских помещений рекомендуется применять инструменты из материалов, исключающих искрообразование;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-создание оперативного плана пожаротушения и плана ликвидации аварийных ситуаций, предусматривающих порядок действия пожарной охраны и персонала взрывопожароопасных объектов;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проведение инструктажа по пожарной безопасности.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bookmarkStart w:id="8" w:name="_Toc232487259"/>
      <w:r w:rsidRPr="00847D6E">
        <w:rPr>
          <w:rFonts w:ascii="Arial" w:eastAsia="Times New Roman" w:hAnsi="Arial" w:cs="Arial"/>
          <w:sz w:val="24"/>
          <w:szCs w:val="24"/>
          <w:lang w:eastAsia="ru-RU"/>
        </w:rPr>
        <w:t>Общие положения по содержанию территории</w:t>
      </w:r>
      <w:bookmarkEnd w:id="8"/>
      <w:r w:rsidRPr="00847D6E">
        <w:rPr>
          <w:rFonts w:ascii="Arial" w:eastAsia="Times New Roman" w:hAnsi="Arial" w:cs="Arial"/>
          <w:sz w:val="24"/>
          <w:szCs w:val="24"/>
          <w:lang w:eastAsia="ru-RU"/>
        </w:rPr>
        <w:t xml:space="preserve"> населенных пунктов и предприятий: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Территория в пределах противопожарных разрывов должна своевременно очищаться от горючих отходов, мусора, тары, опавших листьев, сухой травы и т.р.п.</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Противопожарные разрывы между зданиями и сооружениями, штабелями леса, пиломатериалов, других материалов и оборудования не </w:t>
      </w:r>
      <w:r w:rsidRPr="00847D6E">
        <w:rPr>
          <w:rFonts w:ascii="Arial" w:eastAsia="Times New Roman" w:hAnsi="Arial" w:cs="Arial"/>
          <w:sz w:val="24"/>
          <w:szCs w:val="24"/>
          <w:lang w:eastAsia="ru-RU"/>
        </w:rPr>
        <w:lastRenderedPageBreak/>
        <w:t>разрешается использовать под складирование материалов, оборудования и тары, для стоянки транспорта и строительства (установки) зданий и сооружений.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Дороги, проезды и подъезды к зданиям, сооружениям, открытым складам, наружным пожарным лестницам и водоисточникам, используемым для целей пожаротушения, должны быть всегда свободными для проезда пожарной техники, содержаться в исправном состоянии, а зимой быть очищенными от снега и льда.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 закрытии дорог или проездов для их ремонта или по другим причинам, препятствующим проезду пожарных машин, необходимо немедленно сообщать в подразделения пожарной охраны.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период закрытия дорог в соответствующих местах должны быть установлены указатели направления объезда или устроены переезды через ремонтируемые участки и подъезды к водоисточникам.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Не разрешается курение на территории и в помещениях складов и баз, хлебоприемных пунктов, объектов торговли, добычи, переработки и хранения ЛВЖ, ГЖ и горючих газов (ГГ), производств всех видов взрывчатых веществ, взрывопожароопасных и пожароопасных участков, а также в неотведенных для курения местах иных предприятий, в детских дошкольных и школьных учреждениях, в злаковых массивах.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Разведение костров, сжигание отходов и тары не разрешается в пределах установленных нормами проектирования противопожарных разрывов, но не ближе 50 м до зданий и сооружений. Сжигание отходов и тары в специально отведенных для этих целей местах должно производиться под контролем обслуживающего персонала.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Территории населенных пунктов и предприятий (организаций) должны иметь наружное освещение в темное время суток для быстрого нахождения пожарных гидрантов, наружных пожарных лестниц и мест размещения пожарного инвентаря, а также подъездов к пирсам пожарных водоемов, к входам в здания и сооружения.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жилых домов, общественных и гражданских зданий не разрешается оставлять на открытых площадках и во дворах тару с ЛВЖ и ГЖ, а также баллоны со сжатыми и сжиженными газами.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населенных пунктов и предприятий не разрешается устраивать свалки горючих отходов.</w:t>
      </w:r>
      <w:r w:rsidRPr="00847D6E">
        <w:rPr>
          <w:rFonts w:ascii="Times New Roman" w:eastAsia="Times New Roman" w:hAnsi="Times New Roman" w:cs="Times New Roman"/>
          <w:noProof/>
          <w:sz w:val="24"/>
          <w:szCs w:val="24"/>
          <w:lang w:eastAsia="ru-RU"/>
        </w:rPr>
        <mc:AlternateContent>
          <mc:Choice Requires="wps">
            <w:drawing>
              <wp:inline distT="0" distB="0" distL="0" distR="0">
                <wp:extent cx="304800" cy="304800"/>
                <wp:effectExtent l="0" t="0" r="0" b="0"/>
                <wp:docPr id="1" name="Прямоугольник 1" descr="Якорь"/>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57A37A" id="Прямоугольник 1" o:spid="_x0000_s1026" alt="Якорь"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Mv9sHDnAgAA2wUAAA4AAAAAAAAAAAAA&#10;AAAALgIAAGRycy9lMm9Eb2MueG1sUEsBAi0AFAAGAAgAAAAhAEyg6SzYAAAAAwEAAA8AAAAAAAAA&#10;AAAAAAAAQQUAAGRycy9kb3ducmV2LnhtbFBLBQYAAAAABAAEAPMAAABGBgAAAAA=&#10;" filled="f" stroked="f">
                <o:lock v:ext="edit" aspectratio="t"/>
                <w10:anchorlock/>
              </v:rect>
            </w:pict>
          </mc:Fallback>
        </mc:AlternateConten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Анализ чрезвычайных ситуаций показал, что основную долю пожаров в районе составляют пожары, происходящие в жилом секторе, как правило, их количество возрастает с наступлением холодов.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К основным причинам возгорания относятся: неосторожное обращение с огнем и нарушение правил пожарной безопасности при эксплуатации электроприборов, оборудования и печей.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Размещение пожарных депо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Пожарное депо располагается в р.п. Атяшево на расстоянии 5 км от села Большие Манадыши.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На объектах должна предусматриваться система пожарной безопасности, направленная на предотвращение воздействия на людей опасных факторов пожара, в том числе их вторичных проявлений.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Согласование отступлений от требований пожарной безопасности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bookmarkStart w:id="9" w:name="_Toc232487260"/>
      <w:r w:rsidRPr="00847D6E">
        <w:rPr>
          <w:rFonts w:ascii="Arial" w:eastAsia="Times New Roman" w:hAnsi="Arial" w:cs="Arial"/>
          <w:sz w:val="24"/>
          <w:szCs w:val="24"/>
          <w:lang w:eastAsia="ru-RU"/>
        </w:rPr>
        <w:t>Расход воды на пожаротушение</w:t>
      </w:r>
      <w:bookmarkEnd w:id="9"/>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населенных пунктах предусматривается объединение противопожарного и  хозяйственно-питьевого водопровода или с производственным водопроводом. Расчетный расход воды на наружное пожаротушение и расчетное количество одновременных пожаров принимается в соответствии с таблицей 5 СНиП 2.04.02-84*, исходя из характера застройки и проектной численности населения. Расчетная продолжительность тушения одного пожара составляет 3 часа (р.п. 2.24 СНиП), а время пополнения противопожарного запаса 72 часа (р.п. 2.25 СНиП).</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Большеманадышского сельского поселения на первый этап развития  и на планируемый срок принимается один пожар, с расходом 5 л/сек в жилой застройке и на сельскохозяйственных предприятиях.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Вода для тушения пожара хранится в противопожарных резервуарах. На водопроводной сети, в смотровых колодцах устанавливаются противопожарные гидранты с радиусом действия 100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Необходимо предусмотреть устройство подъездов к искусственным водоемам и водотокам для забора воды на пожаротушение.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Большеманадышское сельское звено ЧС  структурно входит в Атяшевское районное звено территориальной подсистемы РСЧС республики, предназначено для предупреждения и ликвидации ЧС в пределах сельского поселения.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Руководящим органом Большеманадышского сельского звена  ЧС является Комиссия по чрезвычайным ситуациям и обеспечению пожарной безопасности.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Основными мероприятиями Большеманадышского сельского звена ЧС являются: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а) в режиме повседневной деятельности: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осуществление наблюдения и контроля за состоянием природной среды, обстановки на потенциально опасных объектах и в прилегающих к ним территориях;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создание и восполнение резервов финансовых и материальных ресурсов для ликвидации ЧС;</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осуществление целевых видов страхования.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б) в режиме повышенной готовности: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организация круглосуточного дежурства в администрации сельского поселения;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усиление наблюдения и контроля за состоянием окружающей природной среды, прогнозирование возможности возникновения ЧС и их масштабы;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принятие мер по защите  населения, природной среды;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приведение в состояние  готовности сил и средств Атяшевского звена РСЧС, предназначенных для ликвидации возможных ЧС, уточнение планов их действий и выдвижение при необходимости в районы ЧС.</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в режиме чрезвычайной ситуации: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организация защиты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выдвижение сил и средств  в  районы ЧС;</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организация работ по ликвидации ЧС;</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осуществление постоянного усиленного контроля за состоянием окружающей природной среды в районе ЧС.</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Гражданская оборона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Мероприятия по гражданской обороне разрабатываются органами местного самоуправления Республики Мордовия в соответствии с требованиями федерального закона «О гражданской обороне» от 12.02.1998 г. № 28-ФЗ.</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сельских поселений введены следующие степени готовности гражданской обороны: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повседневная;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первоочередные мероприятия ГО 1 группы (ПМ-ГО-1);</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первоочередные мероприятия ГО П группы (ПМГО-П);</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мероприятия общей готовности ГО (ОГГО);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Руководство Большеманадышского сельского поселения, занимаясь повседневной деятельностью, находится в готовности к выполнению задач гражданской обороны согласно планам.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организации связи в интересах управления силами ГО используются телефонная и телеграфная связь.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Под противорадиационные укрытия используются подвалы и другие заглубленные помещения.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Водоснабжение обеспечивается из подземных источников (колодцев).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решения задач противопожарного обеспечения привлекаются звено пожаротушения от отделения Атяшевское и добровольные пожарные дружины с применением приспособленной для тушения пожаров техникой.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Медицинское обеспечение осуществляется силами  ЦРБ р.п. Атяшево.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обеспечения общественного порядка привлекается звено Атяшевского РОВД.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Последовательное осуществление плана гражданской обороны позволяет надеяться на благоприятный исход при возникновении чрезвычайной ситуации.</w:t>
      </w:r>
    </w:p>
    <w:p w:rsidR="00847D6E" w:rsidRPr="00847D6E" w:rsidRDefault="00847D6E" w:rsidP="00847D6E">
      <w:pPr>
        <w:spacing w:after="0" w:line="240" w:lineRule="auto"/>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firstLine="540"/>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jc w:val="center"/>
        <w:rPr>
          <w:rFonts w:ascii="Times New Roman" w:eastAsia="Times New Roman" w:hAnsi="Times New Roman" w:cs="Times New Roman"/>
          <w:sz w:val="24"/>
          <w:szCs w:val="24"/>
          <w:lang w:eastAsia="ru-RU"/>
        </w:rPr>
      </w:pPr>
    </w:p>
    <w:p w:rsidR="00847D6E" w:rsidRPr="00847D6E" w:rsidRDefault="00847D6E" w:rsidP="00847D6E">
      <w:pPr>
        <w:spacing w:after="0" w:line="240" w:lineRule="auto"/>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3.1.10. Историко-культурное наследие</w:t>
      </w:r>
    </w:p>
    <w:p w:rsidR="00847D6E" w:rsidRPr="00847D6E" w:rsidRDefault="00847D6E" w:rsidP="00847D6E">
      <w:pPr>
        <w:spacing w:after="0" w:line="240" w:lineRule="auto"/>
        <w:jc w:val="center"/>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Историческая справка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сведениям Атемарских писцов книг 1640-1641 годов, деревня Мамодыши считалась мордовской, по переписи 1704 года упоминается как поселение русских ясашных крестьян: «село Архангельское или Мамодыши тож», то есть уже в начале ХVIII века в селе имелась церковь, в 1751году построена новая церковь, в 1891 году открыта церковно-приходская школа.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18 августа 1774 года у села Манадыши произошло крупное сражение между правительственными войсками и многочисленным отрядом восставших крестьян. В конце ХIХ  - начале ХХ веков в селе процветала торговля, многие крестьяне, обогатившиеся на торговле стали купцами.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деревне Чебудасы, по сведениям Генерального межевания 1785 года, было имение помещика Лущихина Н Е и жили крестьяне экономического ведомства, по переписи 1910-1911 годов при чебудасах числился хутор Зозина. В годы коллективизации были организованы колхоз «Искра» (с.Б.Манадыши), им. Ворошилова (д.Чебудасы, Барский порядок), в 1950 году объединились в одно хозяйство – колхоз «Искра».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Село Тетюши основано на месте мордовского поселения «Кечушево под Сурским лесом». По сведениям Генерального межевания 1785 года, часть села принадлежала помещикам, в другой части проживали русские и мордовские крестьяне удельного и экономического ведомств. Церковь построена в 1794 году, земское народное училище открыто в 1876 году. По переписи 1910-1911 годов в селе Тетюши Атяшевской волости Ардатовского уезда имелись церковь, школа, проводились базары по понедельникам, две ярмарки, было развито купечество. В годы коллективизации был организован колхоз им. Красина, который в начале 60-х годов объединен с колхозом «Искра» (с.Б.Манадыши).</w:t>
      </w:r>
    </w:p>
    <w:p w:rsidR="00847D6E" w:rsidRPr="00847D6E" w:rsidRDefault="00847D6E" w:rsidP="00847D6E">
      <w:pPr>
        <w:keepNext/>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lastRenderedPageBreak/>
        <w:t> Историко-культурный потенциал.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 землям историко-культурного назначения относятся земли объектов культурного наследия народов Российской Федерации (памятников истории и культуры), в том числе объектов археологического наследия; земли достопримечательных мест, в том числе мест бытования исторических промыслов, производств и ремесел; земли военных и гражданских захоронений.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Земли историко-культурного назначения используются строго в соответствии с их целевым назначением.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Изменение целевого назначения земель историко-культурного назначения и не соответствующая их целевому назначению деятельность не допускается.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Следует соблюдать требования законодательства об охране и использовании объектов культурного наследия (памятников истории и культуры) Российской Федерации. Не предусматривается снос, перемещение или другие изменения состояния объектов культурного наследия.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Особо стоит сказать о памятниках, связанных с годами Великой Отечественной войны 1941-1945 г. Более 250 памятников и обелисков погибшим в годы Великой Отечественной войны установлены в городах и селах Республики Мордовия, открыты мемориальные доски, связанные с жизнью и деятельностью Героев Советского Союза. В селе Тетюши установлен памятник воинам землякам, погибшим в годы Великой Отечественной войны (1941 1945), установлен 18 августа 1987 года. С мордовским краем связаны имена тех, кто принес славу своей  стране, своему народу. В селе Большие Манадыши находится школа, в которой в 1911-1915 г.г. учился Герой Советского Союза  Г.С.Кочетков (1904-1943). Установлена мемориальная доска в мае 1974 года. В селе Тетюши находится школа, открытая в 1876 году,  по инициативе И.Н. Ульянова, установлена мемориальная  доска в 1970 году. Жизнь и деятельность выдающихся людей отмечена мемориальными досками. В селе Тетюши  находится дом, в котором живет Герой Социалистического Труда  В.Д.Бурова.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Среди памятников градостроительства и архитектуры местного значения можно выделить в селе Большие Манадыши церковь во имя архистратига Михаила, середина ХIХ века. Церковь была выстроена в электическом стиле с элементами классического ордера и представляла собой одноглавый храм, трапезную и четырёхъярусную колокольню. Глава, колокольня и интерьер на данный момент утрачены. В настоящее время в селе Большие Манадыши  идет строительство новой церкви в центре населенного пункта.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Большую культурно-просветительную работу ведут Дом культуры, библиотека, школа. Главной целью в сфере культуры является сохранение и развитие культурного потенциала и культурного наследия, повышение социальной роли культуры, обеспечение доступа к культурным ценностям и услугам культуры для всех слоев населения. На достижение этой цели направлены мероприятия и проекты разрабатываемой республиканской целевой программы «Культура Мордовии на 2004-2010 г.».</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3.1.11. Функциональное зонирование территории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Основой архитектурно-планировочного решения населенного пункта является его зонирование, т.е. четкое разграничение территорий по их функциональному назначению.</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Рациональное размещение зон способствует удобной их связи, между собой и определяет основу пространственной структуры села.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функциональному использованию территория Большеманадышского сельского поселения подразделяется на селитебные, производственные и ландшафтно-рекреационные территории.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внутрипоселкового сообщения, улиц, площадей, парков и других мест общего пользования.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Ландшафтно-рекреационная территория включает леса, лесопарки, лесозащитные зоны, водоемы, земли сельскохозяйственного использования и другие угодья, которые совместно с парками, садами, скверами и бульварами, размещаемыми на селитебной территории, формируют систему открытых пространств.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пределах указанных территорий в настоящее время на территории Большеманадышского сельского поселения можно выделить следующие функциональные зоны: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жилая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общественно-деловой застройки;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производственная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-объектов автомобильного транспорта;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-объектов  инженерного оборудования энергоснабжения;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объектов  инженерного оборудования газоснабжения;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объектов  инженерного оборудования водоснабжения и водоотведения;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-сельскохозяйственных угодий;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-акваторий;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-ритуального назначения;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складирования и захоронения отходов.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Сложившаяся  ситуация требует дальнейшего  упорядоченного функционального зонирования территории Большеманадышского сельского поселения.</w:t>
      </w:r>
    </w:p>
    <w:p w:rsidR="00847D6E" w:rsidRPr="00847D6E" w:rsidRDefault="00847D6E" w:rsidP="00847D6E">
      <w:pPr>
        <w:spacing w:after="0" w:line="36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360" w:lineRule="auto"/>
        <w:ind w:right="279"/>
        <w:jc w:val="both"/>
        <w:rPr>
          <w:rFonts w:ascii="Times New Roman" w:eastAsia="Times New Roman" w:hAnsi="Times New Roman" w:cs="Times New Roman"/>
          <w:sz w:val="24"/>
          <w:szCs w:val="24"/>
          <w:lang w:eastAsia="ru-RU"/>
        </w:rPr>
      </w:pP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sz w:val="24"/>
          <w:szCs w:val="24"/>
          <w:lang w:eastAsia="ru-RU"/>
        </w:rPr>
        <w:t>3.1.12. Градостроительное зонирование территории.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территории Большеманадышского сельского поселения выделяются следующие территориальные зоны: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жилая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застройки индивидуальными жилыми домами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развития застройки жилыми домами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общественно-деловая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делового, общественного и коммерческого назначения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развития общественно-деловой и коммерческой застройки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производственная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предприятий, производств и объектов IV класса вредности с СЗЗ 100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предприятий, производств и объектов V класса вредности с СЗЗ 50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зона развития предприятий, производств и объектов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инженерной инфраструктуры: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инженерной инфраструктуры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транспортной инфраструктуры: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транспортной инфраструктуры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рекреационная зона: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рекреационного назначения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развития мест отдыха общего пользования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сельскохозяйственного использования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объектов сельскохозяйственного назначения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специального назначения: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кладбищ</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зона размещения отходов потребления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pacing w:after="0" w:line="240" w:lineRule="auto"/>
        <w:ind w:right="279"/>
        <w:jc w:val="center"/>
        <w:outlineLvl w:val="2"/>
        <w:rPr>
          <w:rFonts w:ascii="Times New Roman" w:eastAsia="Times New Roman" w:hAnsi="Times New Roman" w:cs="Times New Roman"/>
          <w:b/>
          <w:bCs/>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keepNext/>
        <w:spacing w:after="0" w:line="240" w:lineRule="auto"/>
        <w:ind w:right="279"/>
        <w:jc w:val="center"/>
        <w:outlineLvl w:val="2"/>
        <w:rPr>
          <w:rFonts w:ascii="Times New Roman" w:eastAsia="Times New Roman" w:hAnsi="Times New Roman" w:cs="Times New Roman"/>
          <w:b/>
          <w:bCs/>
          <w:sz w:val="24"/>
          <w:szCs w:val="24"/>
          <w:lang w:eastAsia="ru-RU"/>
        </w:rPr>
      </w:pPr>
    </w:p>
    <w:p w:rsidR="00847D6E" w:rsidRPr="00847D6E" w:rsidRDefault="00847D6E" w:rsidP="00847D6E">
      <w:pPr>
        <w:keepNext/>
        <w:spacing w:after="0" w:line="240" w:lineRule="auto"/>
        <w:ind w:right="279"/>
        <w:jc w:val="center"/>
        <w:outlineLvl w:val="2"/>
        <w:rPr>
          <w:rFonts w:ascii="Times New Roman" w:eastAsia="Times New Roman" w:hAnsi="Times New Roman" w:cs="Times New Roman"/>
          <w:b/>
          <w:bCs/>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keepNext/>
        <w:shd w:val="clear" w:color="auto" w:fill="FFFFFF"/>
        <w:spacing w:after="0" w:line="240" w:lineRule="auto"/>
        <w:ind w:firstLine="709"/>
        <w:jc w:val="center"/>
        <w:outlineLvl w:val="4"/>
        <w:rPr>
          <w:rFonts w:ascii="Times New Roman" w:eastAsia="Times New Roman" w:hAnsi="Times New Roman" w:cs="Times New Roman"/>
          <w:b/>
          <w:bCs/>
          <w:sz w:val="24"/>
          <w:szCs w:val="24"/>
          <w:lang w:eastAsia="ru-RU"/>
        </w:rPr>
      </w:pPr>
      <w:r w:rsidRPr="00847D6E">
        <w:rPr>
          <w:rFonts w:ascii="Arial" w:eastAsia="Times New Roman" w:hAnsi="Arial" w:cs="Arial"/>
          <w:b/>
          <w:bCs/>
          <w:i/>
          <w:iCs/>
          <w:sz w:val="24"/>
          <w:szCs w:val="24"/>
          <w:lang w:eastAsia="ru-RU"/>
        </w:rPr>
        <w:t> </w:t>
      </w:r>
      <w:r w:rsidRPr="00847D6E">
        <w:rPr>
          <w:rFonts w:ascii="Arial" w:eastAsia="Times New Roman" w:hAnsi="Arial" w:cs="Arial"/>
          <w:b/>
          <w:bCs/>
          <w:sz w:val="24"/>
          <w:szCs w:val="24"/>
          <w:lang w:eastAsia="ru-RU"/>
        </w:rPr>
        <w:t>3.1.13.  Комплексная оценка территории</w:t>
      </w:r>
    </w:p>
    <w:p w:rsidR="00847D6E" w:rsidRPr="00847D6E" w:rsidRDefault="00847D6E" w:rsidP="00847D6E">
      <w:pPr>
        <w:spacing w:after="0" w:line="240" w:lineRule="auto"/>
        <w:ind w:right="279"/>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Комплексная оценка проводится с целью определения градостроительной ценности территории. В своем составе комплексная оценка территории содержит характеристики природно-ресурсного потенциала территорий, обеспеченности транспортной, инженерной, социальной и производственной инфраструктурами, а также экологического состояния. При выполнении этого раздела выявляются территории, в границах которых устанавливаются ограничения на осуществление градостроительной деятельности – территории заповедных зон и особо охраняемых природных территорий; историко-культурных комплексов и объектов; зон залегания природных ископаемых; санитарных, защитных и санитарно защитных зон; водоохранных зон и прибрежных защитных полос; территории, подверженные воздействию чрезвычайных ситуаций природного и техногенного характера, иные зоны, установленные в соответствии с законодательством.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Оценка территории выполнена по комплексу планировочных условий (факторов) с целью выявления оптимального использования территории сельского поселения для различных видов хозяйственной деятельности: жилищно-гражданского и производственного строительства, отдыха населения. Из архитектурно-планировочных факторов проанализированы степень и характер освоенности территории, её транспортная обслуженность, энергообеспеченность, строительная база.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При оценке природных условий рассмотрены инженерно-геологические условия, почвенные, водные, растительные, земельные ресурсы и полезные ископаемые.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При этом учтены территории, которые не могут быть рекомендованы к освоению отдельными видами деятельности, сюда отнесены застроенные территории.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настоящем разделе излагаются основные выводы по этим факторам и их значимости, и дается их суммарная оценка, которая произведена графически по всему набору планировочных и природных факторов.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bookmarkStart w:id="10" w:name="_Toc230843130"/>
      <w:r w:rsidRPr="00847D6E">
        <w:rPr>
          <w:rFonts w:ascii="Arial" w:eastAsia="Times New Roman" w:hAnsi="Arial" w:cs="Arial"/>
          <w:b/>
          <w:bCs/>
          <w:sz w:val="32"/>
          <w:szCs w:val="32"/>
          <w:lang w:eastAsia="ru-RU"/>
        </w:rPr>
        <w:t>Оценка территории для жилищно-гражданского и производственного строительства.</w:t>
      </w:r>
      <w:bookmarkEnd w:id="10"/>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Ведущими факторами при оценке территории для жилищно-гражданского и производственного строительства являются инженерно-геологические условия, водообеспеченность, транспортная обеспеченность. Кроме того, оцениваются климатические условия, инженерно-сырьевая база, энергоснабжение, строительная база.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Наибольшую часть сельского поселения составляют сельскохозяйственные земли с высокой категорией бонитета, включена в неблагоприятную и ограниченно благоприятную зону  не подлежащую градостроительному освоению. По грунтовым условиям и горизонтальному расчленению территорию можно отнести к благоприятной для строительства. Четвертичные отложения, залегающие в основаниях, фундаментов представлены моренными элювиально-делювиальными, озёрно-ледниковыми суглинками, глинами, супесями, песками. Расчетное сопротивление грунтов оснований 0,2-0,3. Грунтовыми, ливневыми и паводковыми водами не затапливаются. Но эти земли заняты пашней и кормовыми угодьями, нет необходимости отчуждения ценных сельскохозяйственных земель, жилищно-гражданское строительство может осуществляться в существующих границах населенных пунктов.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 инженерно-геологическим условиям значительная территория  сельского поселения относится к ограниченно благоприятным.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Сюда относятся территории, занятые оврагами, балками, долинами рек, сложенными породами долинно-балочного комплекса. Ограничивающим фактором на всей территории является сильно-развитая эрозионная сеть, представленная долинами рек, ручьями, оврагами с временными водотоками. Ограничивающим фактором  является также наличие оврагов глубиной  3-10м.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 неблагоприятным территориям отнесены зоны оползневых процессов, поймы рек и ручьев  подверженные водной эрозии и территории занятые оврагами и балками.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Геологическое строение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геологическом строении территории Республики Мордовия выделяются фундамент и осадочный чехол.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Фундамент слагают архейские и протерозойские образования, представленные гнейсами и гранитоидами. Вследствие активной тектонической деятельности поверхность фундамента неровная. На большей части Республики Мордовии она приподнята и представляет краевую часть Волго Камской антеклизы – Токмовский свод.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Осадочный чехол слагается палеозойскими, мезозойскими и кайнозойскими горными породами. Палеозойские породы на территории Республики Мордовия включают девонские, каменноугольные, пермские образования.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Отложения девона имеют повсеместное распространение. На большей части рассматриваемой территории они залегают на кристаллическом фундаменте. Морские осадки представлены песчаниками, доломитами, известняками и глинами. Общая мощность девонских отложений около 600 м. Девонские горные породы перекрываются повсеместно каменноугольными осадками.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Каменноугольные отложения также распространены повсеместно. Они представлены в основном карбонатными породами: известняки, доломиты, мергели с прослоями глин и песчаников. Общая мощность каменноугольных отложений достигает до 230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Мощность пермских отложений составляет до 60 м. Морские осадочные горные породы представлены доломитами с прослоями известняков, ангидрита и гипса.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размытой, участками сильной закарстованной поверхности палеозойских пород залегают мезозойские отложения. Раннее они имели повсеместное распространение, но в последующем в значительной степени были размыты водными потоками. Мезозойские отложения имеют юрский и меловой возраст.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Юрские отложения представлены преимущественно глинами с прослоями и линзами песков и песчаников. Общая мощность отложений достигает 170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Меловые отложения слагают междуречные пространства. Нижнемеловая толща общей мощностью до 160 м слагается песчанистыми глинами, глинами, песками с многочисленными фосфоритовыми желваками, прослоями песчаников, глинистых сланцев, мергелей и опок. В верхнемеловых отложениях преобладают карбонатные породы – мел, мергель, опока, встречаются пески с конкрециями фосфоритов.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Кайнозойские отложения подразделяются на породы палеогенового, неогенового и четвертичного возрастов. Современная мощность морских отложений палеогенового возраста достигает значений до 120 м. Отложения представлены опоками, мергелями с прослоями песков и песчаников.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Неогеновые накопления представлены осадками лагунно морского и речного происхождения. В отложениях содержатся разнозернистые пески, глинистые пески, реже – глины. Общая мощность отложений составляет не более 80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Приповерхностная часть земной коры на территории Мордовии повсеместно сложена четвертичными отложениями. В восточной части Мордовии развиты в основном элювиальные и элювиально делювиальные образования, возникшие вследствие выветривания коренных (морских) горных пород.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речных долинах распространены аллювиальные отложения. В местах наиболее активного развития эрозионных процессов часто наблюдается выход коренных горных пород на дневную поверхность.</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Инженерно геологические условия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соответствии с общностью структурно геоморфологических особенностей, составом горных пород, их свойствами, гидрогеологическими условиями площадок и современными геологическими процессами, на территории района выделены следующие инженерно геологические районы: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1. область эрозионно денудационных равнин;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2. область возвышенных эрозионно денудационных равнин.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3. область вторичных моренных равнин;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Область эрозионно денудационных равнин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Четвертичные отложения обводнены. Обводненность обуславливается скрытой разгрузкой вод из водоносных горизонтов верхне  и нижнемеловых отложений. Воды пресные, минерализация до 1 г/дм?, по химическому составу гидрокарбонатные кальциевые, залегают на глубине 2 10 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Четвертичные отложения представлены песками кварцевыми, серыми разнозернистыми с прослоями глин, с примесью гальки, гравия, кварца, суглинками.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Коренные породы представлены отложениями палеогеновой (опоки, трепел, мергели, песчаники, пески, глины, диатомиты), меловой (глины, пески, песчаники, алевриты) и юрской (глины, пески, песчаники, мергели, сланцы) систем.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Естественным основанием для зданий и сооружений будут служить коренные породы и отложения четвертичной системы.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Из геологических процессов развитие получили: линейная эрозия, оползни, оврагообразование, заболачивание. Рассматриваемый инженерно геологический район характеризуется средней интенсивностью проявлений экзогенных геологических процессов, и слабой интенсивностью (восточная часть Республики Мордовия) проявления процессов.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Рассматриваемый инженерно геологический район характеризуется, как ограничено благоприятный для градостроительного освоения.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Область возвышенных эрозионно денудационных равнин.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Рассматриваемый инженерно геологический район сложен кремнисто карбонатными породами (опока с линзами песка, глины и песчаники), которые подстилаются карбонатными отложениями.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Четвертичные отложения представлены суглинками с опоками, опоковидными песчаниками, мела, мергелями, глинами.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Коренные породы представлены отложениями палеогеновой (опоки, трепелы, диатомиты, мергели, песчаники, пески, глины), меловой (мел, мергели, опоки, пески, песчаники, глины, алевриты) систем.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Естественным основанием для зданий и сооружений будут служить коренные отложения и породы четвертичной системы.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Грунтовые воды залегают на глубине более 10 м. Минерализация не превышает 1 г/дм?. Агрессивными свойствами воды не обладают.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рассматриваемой территории из экзогенных геологических процессов развиты эрозия, карст, оползни, суффозия, оврагообразование. Район характеризуется сильной интенсивностью проявления экзогенных геологических процессов.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Рассматриваемый инженерно геологический район является неблагоприятным для градостроительного освоения.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Область вторичных моренных равнин.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Четвертичные отложения представлены валуносуглинистыми образованиями днепровского оледенения, которые перекрываются небольшим по мощности (1,5 - 2,0 м) чехлом покровных суглинков, плотных, твердой и полутвердой консистенции с включением прослоев песка мощностью 2 - 10 см, гальки и валунов кристаллических пород.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Коренные породы представлены отложениями неогеновой (глины с линзами песков и алевролитов), палеогеновой (опоки, трепелы, диатомиты, мергели, песчаники, пески, глины) и меловой (глины, пески, песчаники, алевролиты) системами.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Моренные суглинки по пластичности относятся к тяжелым суглинкам. Они являются надежным основанием при строительстве зданий и сооружений.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Грунтовые воды на междуречных пространствах залегают на глубине более 10 м, возможно развитие верховодки. На придолинных участках склонов они залегают на глубине 2 - 5 м. Воды по химическому составу гидрокарбонатные кальциевые, с минерализацией до 1 г/дм?. Воды по отношению к бетону не агрессивные.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Из геологических процессов развитие получили линейная эрозия и процессы оползнеобразования, в меньшей степени процесс суффозии и карст.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Оползнеобразование тяготеет к участкам разгрузки подземных вод, подмываемых склонов, долин рек и бортов оврагов и балок, крутых склонов.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Экзогенные геологические процессы на территории рассматриваемого инженерно геологического района характеризуются в основном слабой, а также средней интенсивностью проявлений.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Естественным основанием для сооружений и зданий будут служить четвертичные отложения и коренные породы.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Территория в целом характеризуется благоприятными условиями для градостроительного освоения. Инженерной подготовки требуют территории с развитием экзогенных геологических процессов.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bookmarkStart w:id="11" w:name="_Toc230843133"/>
      <w:r w:rsidRPr="00847D6E">
        <w:rPr>
          <w:rFonts w:ascii="Arial" w:eastAsia="Times New Roman" w:hAnsi="Arial" w:cs="Arial"/>
          <w:sz w:val="24"/>
          <w:szCs w:val="24"/>
          <w:lang w:eastAsia="ru-RU"/>
        </w:rPr>
        <w:t>Гидрогеологические условия</w:t>
      </w:r>
      <w:bookmarkEnd w:id="11"/>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гидрогеологическом отношении территория поселения расположена в пределах Мордовского артезианского бассейна.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Подземные воды встречаются во всей толще осадочных пород различного возраста. Характерным для территории является наличие сложного комплекса нескольких, нередко гидравлически связанных горизонтов подземных вод.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Наибольшее значение для водоснабжения населения имеет водоносный горизонт в верхнекаменноугольных трещиноватых известняках. Эти воды характеризуются отличным питьевым качеством, дебит скважины – 5 - 60 л/сек.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Прогнозные ресурсы подземных вод составляют 135,7 тыс. м/сут; эксплуатационные запасы (по категории А+В+С1) 25 тыс. м/сут. Степень разведанности месторождений подземных вод – 18,4%.</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Оценка социальной сферы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Оценка социальной сферы проведена в разрезе социально значимых объектов здравоохранения, образования, социального обеспечения, культуры и спорта. На территории Большеманадышского сельского поселения в соответствии с «Региональными нормативами градостроительного проектирования Республики Мордовия» обеспеченность объектами социальной сферы составляет 100%, строительство новых объектов не требуется.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Оценка инженерной инфраструктуры.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основе анализа существующих систем инженерного обеспечения территория сельского поселения относится к благоприятным территориям по обеспеченности энергоснабжением, газоснабжением, инженерными сооружениями. Большеманадышское сельское поселение характеризуется достаточно высоким уровнем развития системы газоснабжения. Уровень газификации составляет 98%.</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Обеспечение инженерными сооружениями составляет 90% от общей площади, поэтому предусматривается строительство водопровода, газопровода.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Оценка  транспортной инфраструктуры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Транспортный комплекс сельского поселения представлен автомобильным и железнодорожным видами транспорта, которые осуществляют грузовые и пассажирские перевозки.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Обеспеченность транспортной инфраструктуры благоприятная, строительство новых дорог не требуется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Оценка территории для ведения сельского хозяйства.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Ведущим фактором при оценке территории для ведения сельского хозяйства являются почвенные ресурсы, рельеф, степень смытости почвы.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Давая комплексную оценку территории муниципального образования по степени благоприятности дальнейшего развития, отмечаем следующие моменты.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Территория наиболее благоприятная для ведения сельского хозяйства - это почвенный покров с уклоном до 1?, относится к категории не смытых почв.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Территория  благоприятная для ведения сельского хозяйства - почвенный покров с уклоном 1 – 3?, относящийся к категории не смытых почв.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Территория условно благоприятная - с уклоном свыше 3-5? , относится к категории слабосмытых почв.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Территория ограниченно  благоприятная - с уклоном свыше 5-7? , относится к категории среднесмытых почв.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Категория земель относящихся к категории неблагоприятных для ведения сельского хозяйства - это смытые почвы оврагов и балок.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Территории, благоприятные для сельскохозяйственного производства, в настоящее время заняты пахотными землями.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Оценка территории для организации отдыха.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Ведущим фактором при оценке территории для организации отдыха является наличие природно-ландшафтных осей (реки, пруды). Зона отдыха формируется на базе озелененных территорий общего пользования, природных и искусственных водоемов.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Планировочная  структура сформировалась в прямой зависимости от природного ландшафта. Она включает в себя планировочные центры и планировочные оси.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Основная природно–ландшафтная  планировочная ось – реки Вечерлейка, Вечерлей которые наиболее благоприятны для полноценного отдыха, так как эти места имеют живописный ландшафт представленный древесно–кустарниковой растительностью на сухих песчаных почвах. Реки протекают по территории населенных пунктов. Второстепенной природно-ландшафтной осью является ручей Манадышский.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Зону отдыха можно разместить возле пруда севернее села Тетюши и южнее деревни Чебудасы.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В настоящее время практически не организованы зоны, рекомендуемые для рекреационного назначения территории. Имеются существенные нарушения санитарно защитных разрывов между производственной и селитебной территориями, водоисточниками.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Сложившаяся ситуация требует дальнейшего упорядоченного функционального зонирования территории сельского поселения.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На основании комплексной  оценки территории района и с учётом планировочной структуры настоящим проектом предлагается наметить ряд мероприятий по упорядочению некоторых функциональных зон, оставив без изменения состав и их наименования.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w:t>
      </w:r>
    </w:p>
    <w:p w:rsidR="00847D6E" w:rsidRPr="00847D6E" w:rsidRDefault="00847D6E" w:rsidP="00847D6E">
      <w:pPr>
        <w:spacing w:after="0" w:line="360" w:lineRule="auto"/>
        <w:ind w:right="279"/>
        <w:jc w:val="both"/>
        <w:rPr>
          <w:rFonts w:ascii="Times New Roman" w:eastAsia="Times New Roman" w:hAnsi="Times New Roman" w:cs="Times New Roman"/>
          <w:sz w:val="24"/>
          <w:szCs w:val="24"/>
          <w:lang w:eastAsia="ru-RU"/>
        </w:rPr>
      </w:pP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847D6E">
        <w:rPr>
          <w:rFonts w:ascii="Arial" w:eastAsia="Times New Roman" w:hAnsi="Arial" w:cs="Arial"/>
          <w:b/>
          <w:bCs/>
          <w:i/>
          <w:iCs/>
          <w:sz w:val="24"/>
          <w:szCs w:val="24"/>
          <w:lang w:eastAsia="ru-RU"/>
        </w:rPr>
        <w:t> </w:t>
      </w:r>
      <w:r w:rsidRPr="00847D6E">
        <w:rPr>
          <w:rFonts w:ascii="Arial" w:eastAsia="Times New Roman" w:hAnsi="Arial" w:cs="Arial"/>
          <w:b/>
          <w:bCs/>
          <w:sz w:val="32"/>
          <w:szCs w:val="32"/>
          <w:lang w:eastAsia="ru-RU"/>
        </w:rPr>
        <w:t>4. Проектные предложения по дальнейшему развитию</w:t>
      </w:r>
    </w:p>
    <w:p w:rsidR="00847D6E" w:rsidRPr="00847D6E" w:rsidRDefault="00847D6E" w:rsidP="00847D6E">
      <w:pPr>
        <w:keepNext/>
        <w:shd w:val="clear" w:color="auto" w:fill="FFFFFF"/>
        <w:spacing w:after="0" w:line="240" w:lineRule="auto"/>
        <w:ind w:firstLine="709"/>
        <w:jc w:val="center"/>
        <w:outlineLvl w:val="3"/>
        <w:rPr>
          <w:rFonts w:ascii="Times New Roman" w:eastAsia="Times New Roman" w:hAnsi="Times New Roman" w:cs="Times New Roman"/>
          <w:b/>
          <w:bCs/>
          <w:sz w:val="32"/>
          <w:szCs w:val="32"/>
          <w:lang w:eastAsia="ru-RU"/>
        </w:rPr>
      </w:pPr>
      <w:r w:rsidRPr="00847D6E">
        <w:rPr>
          <w:rFonts w:ascii="Arial" w:eastAsia="Times New Roman" w:hAnsi="Arial" w:cs="Arial"/>
          <w:b/>
          <w:bCs/>
          <w:sz w:val="32"/>
          <w:szCs w:val="32"/>
          <w:lang w:eastAsia="ru-RU"/>
        </w:rPr>
        <w:t>территории сельского поселения</w:t>
      </w:r>
    </w:p>
    <w:p w:rsidR="00847D6E" w:rsidRPr="00847D6E" w:rsidRDefault="00847D6E" w:rsidP="00847D6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 целью развития Агропромышленного кластера Республики Мордовия, увеличения производства сельскохозяйственной продукции в общественном секторе республики для удовлетворения потребностей населения в перерабатывающей промышленности, повышения рентабельности животноводства, ускорения процессов технического перевооружения животноводческих комплексов и в целом повышения качества сельскохозяйственной продукции предприятий Республики Мордовия согласно «Комплексной программе экономического и социального развития Республики Мордовия на 2008-2012гг»,  «Стратегии социально-экономического развития Республики Мордовия до 2025 года», Национальному проекту развития АПК, а также в рамках «Отраслевой целевой программы развития животноводства до 2015 года» проектом предлагаются следующие мероприятия: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Развитие взаимодействия предприятий АПК с торговыми сетями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Стимулирование внутреннего потребления продукции агропромышленного комплекса: реализация региональных программ по обеспечению школьников "полезными завтраками", содержащими молоко и молочные продукты, реализация программ по обеспечению малоимущих слоев населения продуктами, содержащими белок, проведение информационных акций о полезных продуктах питания;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Реализация проектов по созданию современных молочных ферм, повышение продуктивности молочного стада, развитие племенного выращивания КРС (которое значимо и для мясного сектора), формирование сети племенных репродукторов.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Увеличение производства охлажденного мяса, увеличение объемов производства говядины, свинины.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Развитие сырьевой базы (расширение посевных площадей для выращивания зерновых и овощных культур, повышение урожайности зерновых культур и т.д.).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территории муниципального образования функционирует ОАО «Агрофирма Искра», которое специализируется на выращивании зерновых и зернобобовых культур, разведению крупного рогатого скота.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Хозяйство в 2008 году получило наивысшие показатели по урожаю зерновых и зернобобовых культур, сахарной свеклы. Валовой сбор зерна в 2008 году составил 16,5 тыс. тонн, сахарной свеклы 7,7 тыс. тонн.</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Одним из основных направлений является увеличение продукции животноводства. За 2008 г в хозяйстве произведено 2499 тонн молока и 100,4 тонн мяса.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Значительный вклад в развитие отрасли вносят личные подсобные хозяйства населения, занимающие важное место в производстве и продаже сельскохозяйственной продукции.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основании Постановления  Правительства Российской Федерации от 29.12.91 г.</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 86 «О порядке реорганизации колхозов и совхозов» все сельскохозяйственные предприятия провели реорганизацию и зарегистрировали свою организационно–правовую форму.</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Во исполнение  Указа Президента Российской Федерации от 27.12.92 г. № 323 «О неотложных мерах по осуществлению земельной реформы в РСФСР», все земли сельскохозяйственного назначения были распределены между пайщиками, имеющими право на получение земельных долей, им были выданы «Свидетельства на право собственности на земельный пай». Данный документ действителен и в настоящее время.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Пытаясь оказать помощь в развитии сельского хозяйства в последние годы, как Правительством РФ, так и в республике приняты ряд важнейших документов. Развитие сельского хозяйства в современных условиях без государственной поддержки и инвестирования невозможно. Задача органов государственной и местной власти - помощь сельскохозяйственным организациям в привлечении инвестиций и создание благоприятных условий существования (программы поддержки и развития данной отрасли). В Республике Мордовия реализуется Федеральная целевая программа «Сохранение и восстановление плодородия почв земель сельскохозяйственного назначения и агроландшафтов как национального достояния России на 2006-2010 годы и на период до 2012 года». Разработана Республиканская целевая программа «Сохранение и восстановление плодородия почв земель сельскохозяйственного назначения и агроландшафтов как национального достояния России по Республике Мордовия на 2006 – 2010 годы», утвержденная распоряжением Правительства Республики Мордовия № 510-р от 30 мая 2006 г., учитывая при этом предполагаемое продолжение программных мероприятий до 2012 года включительно.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Выполнение всех этих программ подкрепляется финансовым обеспечением.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На основании «Схемы территориального планирования Атяшевского района»  предусматривается закольцовка существующей газораспределительной сети Атяшевского района посредством строительства закольцовывающего газопровода диаметром 150 мм протяженностью 1,1 км от села Тетюши до р.п. Атяшево. Намечается в селе  Большие Манадыши капитальный ремонт школы; реконструкция клуба с увеличением мощности до 240 мест; в селе Тетюши строительство детского сада на 25 мест в комплексе с клубом на 120 мест и библиотекой на 3 тыс.экз., в деревне Чебудасы строительство клуба на 60 мест в комплексе с библиотекой на 1,5 тыс.экз. и спортивным залом на 162 кв. м площади пола.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Расчетный срок генерального плана Большеманадышского сельского поселения – 2025 год.</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За последние годы количество проживаемого населения по всем возрастным категориям изменилось, изменилось и количество жилых домостроений, в которых проживает население.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результате проведенного полевого обследования были определены существующие на данный момент границы населенных пунктов, подсчитаны площади населенных пунктов в существующих границах.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В сёлах сельского поселения имеются большие резервы для новой  застройки внутри населенных пунктов. Для создания благоприятных условий проживания в населенных пунктах, стимулирования нового строительства в них, необходимо выполнить в больших объемах работы по инженерному обеспечению и  благоустройству территории.                                                             В сельских поселениях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w:t>
      </w:r>
      <w:r w:rsidRPr="00847D6E">
        <w:rPr>
          <w:rFonts w:ascii="Arial" w:eastAsia="Times New Roman" w:hAnsi="Arial" w:cs="Arial"/>
          <w:sz w:val="24"/>
          <w:szCs w:val="24"/>
          <w:lang w:eastAsia="ru-RU"/>
        </w:rPr>
        <w:lastRenderedPageBreak/>
        <w:t>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расширения.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целях упорядочения территории села по генплану предлагается изменить границу села Большие Манадыши на северо-востоке для строительства индивидуальных жилых домов. Площадь села увеличилась на 10,5 га из категории земель сельхозназначения. Существующие границы земель сельхозназначения изменяются в связи с включением их в земли населенных пунктов. Новое строительство в населённых пунктах также будет осуществляться за счёт резервных территорий внутри сёл.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рамках осуществления  Федеральной целевой программы «Социальное развитие села до 2012 года» принята Республиканская целевая программа «Социальное развитие села до 2010 года».  В целях осуществления вышеуказанного «Закона» к уже выполненным работам в границах муниципального образования необходимо дополнительно провести работы по газификации населенных пунктов, строительству подъездных путей и другое.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давления. Применение газа на котельных, в жилых домах (квартирах) в качестве топлива меняет в лучшую сторону перспективу социально экономического развития населенных пунктов, а также бытовые условия жизни людей и выводит из числа депрессивных территорий. На территории Большеманадышского сельского поселения  генпланом предлагается  провести ремонт дорог  с твердым покрытием по улицам населенных пунктов. В селе Большие Манадыши генпланом предлагается строительство пешеходного моста и устройство тротуара на территории парка.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После осуществления всех мероприятий в населенных пунктах будут созданы благоприятные условия для дополнительного жилищного строительства, хорошие условия для ведения личного подсобного хозяйства и проживания населения.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Мордовия «О предельных размерах земельных участков, предоставляемых гражданам в собственность» от 20.02.2002 г. № 4-З. Под строительство индивидуальной жилой застройки рекомендуется выделять земельные участки согласно нормам, установленным для сельских населенных пунктов Законом Республики Мордовия «О предельных размерах земельных участков, предоставляемых гражданам в собственность» от 20 февраля 2002 г. №4-3 и Законом Республики Мордовия «О внесении изменений в закон Республики Мордовия «О предельных размерах земельных участков, предоставляемых гражданам в собственность» от 7 июля 2003 г. №35-3.</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Собрание представителей Атяшевского района своим Решением № 12 от 20.07.2006 г. О предельных (минимальных и максимальных) размерах земельных участков предоставляемых из находящихся в государственной и муниципальной собственности по Атяшевскому району Республики Мордовия установило предельные размеры земельных участков по Большеманадышскому сельскому поселению для ведения ЛПХ min – 450 кв.м, max – 1000 кв.м, для ИЖС min – 450 кв.м, max – 1500 кв.м.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настоящих нормативов, экологических, санитарно-гигиенических, противопожарных и иных правил.</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Республике Мордовия приняты и утверждены подпрограмма «Обеспечение жильем молодых семей» на период 2002-2010 годы РЦП «Жилище» на период 2002-2010 годы и Республиканская целевая программа «Жилище» на 2006-2010 годы.</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Для создания внешнего облика населенных пунктов и с  учетом Программы «Развитие строительного комплекса Республики Мордовия на 2007 - 2011 гг.» генпланом предусматривается в селе  Большие Манадыши строительство детского сада на 50 мест и строительство детской спортивной площадки на улице Молодёжная, рядом со школой. Проектируется строительство церкви в центре села.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Организация зоны отдыха предлагается на севере села Тетюши на правом берегу пруда и на юге деревни Чебудасы у пруда.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соответствии с Республиканской целевой программой «Охрана окружающей среды Республики Мордовия на период до 2010 года» на территории района в целях предотвращение биологического загрязнения экосистем предусматривается обустройство существующих скотомогильников и строительство биотермических ям. На территории Большеманадышского сельского поселения существующий скотомогильник расположен на юг от села Большие Манадыши на расстоянии 2,9 км от жилой застройки.</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Объектами санитарной очистки являются уличные проезды, территории объектов культурно-бытового назначения, предприятий, учреждений и организаций, парков, площадей и иных мест общественного пользования, мест  отдыха.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xml:space="preserve">       Генеральным планом предлагается предусматривать мероприятия по регулярной санитарной очистке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В жилых зонах размещаются специальные площадки для контейнеров бытовых отходов с удобными подъездами для транспорта. В селе Большие Манадыши имеется четыре мусорных контейнера, в селе Тетюши – два мусорных контейнера, в деревне Чебудасы – два мусорных контейнера. В соответствии с СанПиН 2.1.7.1038 01 «Гигиенические требования к устройству и содержанию полигонов для твердых бытовых отходов» рекомендуется создание централизованных полигонов для групп населенных пунктов. На основании «Схемы территориального планирования Атяшевского района» строительство полигона ТБО предлагается на территории Вечерлейского сельского поселения  для </w:t>
      </w:r>
      <w:r w:rsidRPr="00847D6E">
        <w:rPr>
          <w:rFonts w:ascii="Arial" w:eastAsia="Times New Roman" w:hAnsi="Arial" w:cs="Arial"/>
          <w:sz w:val="24"/>
          <w:szCs w:val="24"/>
          <w:lang w:eastAsia="ru-RU"/>
        </w:rPr>
        <w:lastRenderedPageBreak/>
        <w:t>обслуживания сразу двух сельских поселений: Большеманадышского и  Вечерлейского.</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Согласно Перечня поручений Президента  Российской Федерации от 08.04.2008 г. №Пр-582, пункт 9б, для создания благоприятных условий по реализации прав граждан на территории муниципального образования необходимо развивать предпринимательскую деятельность, чтобы каждый житель села имел возможность испытать себя в роли предпринимателя, эффективнее использовать собственные денежные средства, получить доступ к производственным ресурсам.</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Цель развития и поддержки малого и среднего предпринимательства - создание новых рабочих мест, насыщение рынка  товарами и услугами, увеличение налоговых поступлений в бюджет.</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Основными задачами являются: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поддержка малого предпринимательства,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расширение сферы услуг,</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трудоустройство безработных,</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увеличение ассортимента товаров, пользующихся спросом у населения.  </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В структуре малых предприятий Большеманадышского сельского поселения предприятия торговли и общественного питания составляют половину от всех предприятий. Наименьшую долю составляют промышленные предприятия, это рыбокоптильный цех Кочеткова, маслодельный завод при молочно товарной ферме.</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Основным препятствием для развития малого бизнеса является недостаточность собственных средств, сложность получения банковских кредитов и отсутствие должной защиты прав и интересов.</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Генпланом предлагается в селе Большие Манадыши строительство автосервиса на востоке села по улице Октябрьская. Вдоль автодороги «п.г.т.Комсомольский - р.п.Атяшево – г.Ардатов – Тургенево» генпланом предлагается строительство придорожного кафе и гостиницы в центре села Большие Манадыши и строительство АЗС на юге деревни Чебудасы. Большеманадышское сельское поселение располагается в центральной части Атяшевского района с интенсивным рейтингом развития, где ожидаются наибольшие темпы роста со значительной долей участия в развитии экономики частных инвесторов. На севере села Большие Манадыши по улице Пролетарская предлагается участок для развития  индивидуального предпринимательства.</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Из всего вышесказанного, можно сделать вывод, что у муниципального образования имеются большие возможности для дальнейшего развития. Это земельные ресурсы и обеспеченность рабочей силой. Поэтому администрации муниципального образования, используя предоставленные Правительством РФ возможности в рамках осуществления программ, необходимо внести предложения по их реализации в границах муниципального образования.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Используя сложившиеся благоприятные условия необходимо выполнить намеченные мероприятия.</w:t>
      </w:r>
    </w:p>
    <w:p w:rsidR="00847D6E" w:rsidRPr="00847D6E" w:rsidRDefault="00847D6E" w:rsidP="00847D6E">
      <w:pPr>
        <w:shd w:val="clear" w:color="auto" w:fill="FFFFFF"/>
        <w:spacing w:after="0" w:line="240" w:lineRule="auto"/>
        <w:ind w:left="150" w:right="150" w:firstLine="70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lastRenderedPageBreak/>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jc w:val="both"/>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ind w:right="279"/>
        <w:jc w:val="center"/>
        <w:rPr>
          <w:rFonts w:ascii="Times New Roman" w:eastAsia="Times New Roman" w:hAnsi="Times New Roman" w:cs="Times New Roman"/>
          <w:sz w:val="24"/>
          <w:szCs w:val="24"/>
          <w:lang w:eastAsia="ru-RU"/>
        </w:rPr>
      </w:pP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Arial" w:eastAsia="Times New Roman" w:hAnsi="Arial" w:cs="Arial"/>
          <w:b/>
          <w:bCs/>
          <w:i/>
          <w:iCs/>
          <w:sz w:val="24"/>
          <w:szCs w:val="24"/>
          <w:lang w:eastAsia="ru-RU"/>
        </w:rPr>
        <w:t> </w:t>
      </w:r>
    </w:p>
    <w:p w:rsidR="00847D6E" w:rsidRPr="00847D6E" w:rsidRDefault="00847D6E" w:rsidP="00847D6E">
      <w:pPr>
        <w:spacing w:after="0" w:line="240" w:lineRule="auto"/>
        <w:ind w:right="279" w:firstLine="567"/>
        <w:jc w:val="center"/>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tbl>
      <w:tblPr>
        <w:tblW w:w="0" w:type="auto"/>
        <w:tblCellSpacing w:w="0" w:type="dxa"/>
        <w:tblInd w:w="45" w:type="dxa"/>
        <w:tblCellMar>
          <w:left w:w="0" w:type="dxa"/>
          <w:right w:w="0" w:type="dxa"/>
        </w:tblCellMar>
        <w:tblLook w:val="04A0" w:firstRow="1" w:lastRow="0" w:firstColumn="1" w:lastColumn="0" w:noHBand="0" w:noVBand="1"/>
      </w:tblPr>
      <w:tblGrid>
        <w:gridCol w:w="60"/>
        <w:gridCol w:w="1830"/>
        <w:gridCol w:w="60"/>
      </w:tblGrid>
      <w:tr w:rsidR="00847D6E" w:rsidRPr="00847D6E" w:rsidTr="00847D6E">
        <w:trPr>
          <w:tblCellSpacing w:w="0" w:type="dxa"/>
        </w:trPr>
        <w:tc>
          <w:tcPr>
            <w:tcW w:w="6" w:type="dxa"/>
            <w:vAlign w:val="center"/>
            <w:hideMark/>
          </w:tcPr>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tc>
        <w:tc>
          <w:tcPr>
            <w:tcW w:w="1830" w:type="dxa"/>
            <w:vAlign w:val="center"/>
            <w:hideMark/>
          </w:tcPr>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tc>
        <w:tc>
          <w:tcPr>
            <w:tcW w:w="6" w:type="dxa"/>
            <w:vAlign w:val="center"/>
            <w:hideMark/>
          </w:tcPr>
          <w:p w:rsidR="00847D6E" w:rsidRPr="00847D6E" w:rsidRDefault="00847D6E" w:rsidP="00847D6E">
            <w:pPr>
              <w:spacing w:after="0" w:line="240" w:lineRule="auto"/>
              <w:rPr>
                <w:rFonts w:ascii="Times New Roman" w:eastAsia="Times New Roman" w:hAnsi="Times New Roman" w:cs="Times New Roman"/>
                <w:sz w:val="24"/>
                <w:szCs w:val="24"/>
                <w:lang w:eastAsia="ru-RU"/>
              </w:rPr>
            </w:pPr>
            <w:r w:rsidRPr="00847D6E">
              <w:rPr>
                <w:rFonts w:ascii="Times New Roman" w:eastAsia="Times New Roman" w:hAnsi="Times New Roman" w:cs="Times New Roman"/>
                <w:sz w:val="24"/>
                <w:szCs w:val="24"/>
                <w:lang w:eastAsia="ru-RU"/>
              </w:rPr>
              <w:t> </w:t>
            </w:r>
          </w:p>
        </w:tc>
      </w:tr>
    </w:tbl>
    <w:p w:rsidR="00847D6E" w:rsidRPr="00847D6E" w:rsidRDefault="00847D6E" w:rsidP="00847D6E">
      <w:pPr>
        <w:keepNext/>
        <w:spacing w:after="0" w:line="240" w:lineRule="auto"/>
        <w:ind w:right="279"/>
        <w:jc w:val="center"/>
        <w:rPr>
          <w:rFonts w:ascii="Times New Roman" w:eastAsia="Times New Roman" w:hAnsi="Times New Roman" w:cs="Times New Roman"/>
          <w:sz w:val="24"/>
          <w:szCs w:val="24"/>
          <w:lang w:eastAsia="ru-RU"/>
        </w:rPr>
      </w:pPr>
      <w:r w:rsidRPr="00847D6E">
        <w:rPr>
          <w:rFonts w:ascii="Arial" w:eastAsia="Times New Roman" w:hAnsi="Arial" w:cs="Arial"/>
          <w:sz w:val="24"/>
          <w:szCs w:val="24"/>
          <w:lang w:eastAsia="ru-RU"/>
        </w:rPr>
        <w:t> </w:t>
      </w:r>
    </w:p>
    <w:p w:rsidR="00DB470A" w:rsidRDefault="00DB470A">
      <w:bookmarkStart w:id="12" w:name="_GoBack"/>
      <w:bookmarkEnd w:id="12"/>
    </w:p>
    <w:sectPr w:rsidR="00DB47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D6E"/>
    <w:rsid w:val="00847D6E"/>
    <w:rsid w:val="00DB4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97834-3D59-4FC3-865D-924EFE942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47D6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47D6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47D6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47D6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847D6E"/>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847D6E"/>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47D6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47D6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47D6E"/>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47D6E"/>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847D6E"/>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847D6E"/>
    <w:rPr>
      <w:rFonts w:ascii="Times New Roman" w:eastAsia="Times New Roman" w:hAnsi="Times New Roman" w:cs="Times New Roman"/>
      <w:b/>
      <w:bCs/>
      <w:sz w:val="15"/>
      <w:szCs w:val="15"/>
      <w:lang w:eastAsia="ru-RU"/>
    </w:rPr>
  </w:style>
  <w:style w:type="paragraph" w:customStyle="1" w:styleId="msonormal0">
    <w:name w:val="msonormal"/>
    <w:basedOn w:val="a"/>
    <w:rsid w:val="00847D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47D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47D6E"/>
    <w:rPr>
      <w:color w:val="0000FF"/>
      <w:u w:val="single"/>
    </w:rPr>
  </w:style>
  <w:style w:type="character" w:styleId="a5">
    <w:name w:val="FollowedHyperlink"/>
    <w:basedOn w:val="a0"/>
    <w:uiPriority w:val="99"/>
    <w:semiHidden/>
    <w:unhideWhenUsed/>
    <w:rsid w:val="00847D6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45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387507c3-b80d-4c0d-9291-8cdc81673f2b.html" TargetMode="External"/><Relationship Id="rId13" Type="http://schemas.openxmlformats.org/officeDocument/2006/relationships/hyperlink" Target="http://rnla-service.scli.ru:8080/rnla-links/ws/content/act/39e18fbb-9a65-4c81-9edc-e24e33dc8294.html" TargetMode="External"/><Relationship Id="rId18" Type="http://schemas.openxmlformats.org/officeDocument/2006/relationships/hyperlink" Target="http://rnla-service.scli.ru:8080/rnla-links/ws/content/act/1c5cec3e-dd3f-4273-89f6-5b3f1ad45785.html" TargetMode="External"/><Relationship Id="rId3" Type="http://schemas.openxmlformats.org/officeDocument/2006/relationships/webSettings" Target="webSettings.xml"/><Relationship Id="rId21" Type="http://schemas.openxmlformats.org/officeDocument/2006/relationships/hyperlink" Target="http://rnla-service.scli.ru:8080/rnla-links/ws/content/act/ac7b6fef-c494-4a00-a257-79bab36b5ec5.html" TargetMode="External"/><Relationship Id="rId7" Type="http://schemas.openxmlformats.org/officeDocument/2006/relationships/hyperlink" Target="http://rnla-service.scli.ru:8080/rnla-links/ws/content/act/3d107b93-a427-4a27-8408-0503294c5cfa.html" TargetMode="External"/><Relationship Id="rId12" Type="http://schemas.openxmlformats.org/officeDocument/2006/relationships/hyperlink" Target="http://rnla-service.scli.ru:8080/rnla-links/ws/content/act/96e20c02-1b12-465a-b64c-24aa92270007.html" TargetMode="External"/><Relationship Id="rId17" Type="http://schemas.openxmlformats.org/officeDocument/2006/relationships/hyperlink" Target="http://rnla-service.scli.ru:8080/rnla-links/ws/content/act/39e5d711-b7fc-40c3-aa00-144e58d87628.html" TargetMode="External"/><Relationship Id="rId2" Type="http://schemas.openxmlformats.org/officeDocument/2006/relationships/settings" Target="settings.xml"/><Relationship Id="rId16" Type="http://schemas.openxmlformats.org/officeDocument/2006/relationships/hyperlink" Target="http://rnla-service.scli.ru:8080/rnla-links/ws/content/act/bdca97b4-277d-4f20-9d6e-99687b7290f5.html" TargetMode="External"/><Relationship Id="rId20" Type="http://schemas.openxmlformats.org/officeDocument/2006/relationships/hyperlink" Target="http://rnla-service.scli.ru:8080/rnla-links/ws/content/act/4252ee60-e5fe-4c1c-aaad-a8ee14249b58.html" TargetMode="External"/><Relationship Id="rId1" Type="http://schemas.openxmlformats.org/officeDocument/2006/relationships/styles" Target="styles.xml"/><Relationship Id="rId6" Type="http://schemas.openxmlformats.org/officeDocument/2006/relationships/hyperlink" Target="http://rnla-service.scli.ru:8080/rnla-links/ws/content/act/4bffd2fe-e22c-40e1-914c-c036fbfe4095.html" TargetMode="External"/><Relationship Id="rId11" Type="http://schemas.openxmlformats.org/officeDocument/2006/relationships/hyperlink" Target="http://rnla-service.scli.ru:8080/rnla-links/ws/content/act/0040f7a8-9a0d-4e71-ba36-b348c3cfe439.html" TargetMode="External"/><Relationship Id="rId5" Type="http://schemas.openxmlformats.org/officeDocument/2006/relationships/hyperlink" Target="http://rnla-service.scli.ru:8080/rnla-links/ws/content/act/8c19702a-132b-46cb-afc4-07f9b52abbd1.html" TargetMode="External"/><Relationship Id="rId15" Type="http://schemas.openxmlformats.org/officeDocument/2006/relationships/hyperlink" Target="http://rnla-service.scli.ru:8080/rnla-links/ws/content/act/39cd0134-68ce-4fbf-82ad-44f4203d5e50.html" TargetMode="External"/><Relationship Id="rId23" Type="http://schemas.openxmlformats.org/officeDocument/2006/relationships/theme" Target="theme/theme1.xml"/><Relationship Id="rId10" Type="http://schemas.openxmlformats.org/officeDocument/2006/relationships/hyperlink" Target="http://rnla-service.scli.ru:8080/rnla-links/ws/content/act/9cf2f1c3-393d-4051-a52d-9923b0e51c0c.html" TargetMode="External"/><Relationship Id="rId19" Type="http://schemas.openxmlformats.org/officeDocument/2006/relationships/hyperlink" Target="http://rnla-service.scli.ru:8080/rnla-links/ws/content/act/9b8c6a3b-6976-4a97-9d28-ebb428194bd4.html" TargetMode="External"/><Relationship Id="rId4" Type="http://schemas.openxmlformats.org/officeDocument/2006/relationships/hyperlink" Target="http://rnla-service.scli.ru:8080/rnla-links/ws/content/act/387507c3-b80d-4c0d-9291-8cdc81673f2b.html" TargetMode="External"/><Relationship Id="rId9" Type="http://schemas.openxmlformats.org/officeDocument/2006/relationships/hyperlink" Target="http://rnla-service.scli.ru:8080/rnla-links/ws/content/act/4aa6db79-255f-4a18-9856-8471aac24876.html" TargetMode="External"/><Relationship Id="rId14" Type="http://schemas.openxmlformats.org/officeDocument/2006/relationships/hyperlink" Target="http://rnla-service.scli.ru:8080/rnla-links/ws/content/act/3d107b93-a427-4a27-8408-0503294c5cfa.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23091</Words>
  <Characters>131621</Characters>
  <Application>Microsoft Office Word</Application>
  <DocSecurity>0</DocSecurity>
  <Lines>1096</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2020-02-25T08:33:00Z</dcterms:created>
  <dcterms:modified xsi:type="dcterms:W3CDTF">2020-02-25T08:33:00Z</dcterms:modified>
</cp:coreProperties>
</file>