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984" w:rsidRDefault="000D3984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ОТЧЕТ за 2017 год </w:t>
      </w:r>
    </w:p>
    <w:p w:rsidR="000D3984" w:rsidRDefault="000D3984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Плана мероприятий</w:t>
      </w:r>
    </w:p>
    <w:p w:rsidR="000D3984" w:rsidRDefault="000D3984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внедрению муниципального стандарта инвестиционной деятельности</w:t>
      </w:r>
    </w:p>
    <w:p w:rsidR="000D3984" w:rsidRDefault="000D3984" w:rsidP="00E2570B">
      <w:r>
        <w:rPr>
          <w:rFonts w:ascii="Times New Roman" w:hAnsi="Times New Roman"/>
          <w:b/>
          <w:sz w:val="28"/>
          <w:szCs w:val="28"/>
        </w:rPr>
        <w:t xml:space="preserve">на территории Атяшевского </w:t>
      </w:r>
      <w:proofErr w:type="gramStart"/>
      <w:r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района на 2015 – 2017 гг.</w:t>
      </w:r>
    </w:p>
    <w:p w:rsidR="000D3984" w:rsidRDefault="000D3984" w:rsidP="002D72A8">
      <w:pPr>
        <w:pStyle w:val="a4"/>
        <w:ind w:firstLine="426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0D3984" w:rsidRDefault="000D3984" w:rsidP="002D72A8">
      <w:pPr>
        <w:pStyle w:val="a4"/>
        <w:ind w:firstLine="426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44482F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Блок 1: Институциональная среда</w:t>
      </w:r>
    </w:p>
    <w:p w:rsidR="000D3984" w:rsidRPr="0078384C" w:rsidRDefault="000D3984" w:rsidP="0078384C">
      <w:pPr>
        <w:pStyle w:val="a4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  </w:t>
      </w:r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Постановлением Администрации Атяшевского муниципального района от 17.02.2017г. №91 утверждена </w:t>
      </w:r>
      <w:r>
        <w:rPr>
          <w:rFonts w:ascii="Times New Roman" w:hAnsi="Times New Roman"/>
          <w:bCs/>
          <w:sz w:val="28"/>
          <w:szCs w:val="28"/>
        </w:rPr>
        <w:t>Инвестиционная стратегия</w:t>
      </w:r>
      <w:r w:rsidRPr="0078384C">
        <w:rPr>
          <w:rFonts w:ascii="Times New Roman" w:hAnsi="Times New Roman"/>
          <w:bCs/>
          <w:sz w:val="28"/>
          <w:szCs w:val="28"/>
        </w:rPr>
        <w:t xml:space="preserve"> </w:t>
      </w:r>
      <w:r w:rsidRPr="0078384C">
        <w:rPr>
          <w:rFonts w:ascii="Times New Roman" w:hAnsi="Times New Roman"/>
          <w:sz w:val="28"/>
          <w:szCs w:val="28"/>
        </w:rPr>
        <w:t>Атяшевского муниципального</w:t>
      </w:r>
      <w:r w:rsidRPr="0078384C">
        <w:rPr>
          <w:rFonts w:ascii="Times New Roman" w:hAnsi="Times New Roman"/>
          <w:bCs/>
          <w:sz w:val="28"/>
          <w:szCs w:val="28"/>
        </w:rPr>
        <w:t xml:space="preserve"> района до 2022 года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D3984" w:rsidRPr="0078384C" w:rsidRDefault="000D3984" w:rsidP="007838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Инвестиционная стратегия 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Атяшевского муниципального района до 2022 года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 представляет собой плановый документ, определяющий долгосрочные цели и ожидаемые результаты деятельности органов местного самоуправления 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Атяшевского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 xml:space="preserve">района 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совместно с </w:t>
      </w:r>
      <w:proofErr w:type="gramStart"/>
      <w:r w:rsidRPr="0078384C">
        <w:rPr>
          <w:rFonts w:ascii="Times New Roman" w:hAnsi="Times New Roman"/>
          <w:sz w:val="28"/>
          <w:szCs w:val="28"/>
          <w:lang w:eastAsia="ru-RU"/>
        </w:rPr>
        <w:t>бизнес-сообществом</w:t>
      </w:r>
      <w:proofErr w:type="gramEnd"/>
      <w:r w:rsidRPr="0078384C">
        <w:rPr>
          <w:rFonts w:ascii="Times New Roman" w:hAnsi="Times New Roman"/>
          <w:sz w:val="28"/>
          <w:szCs w:val="28"/>
          <w:lang w:eastAsia="ru-RU"/>
        </w:rPr>
        <w:t xml:space="preserve"> по созданию благоприятного инвестиционного климата на его территории.</w:t>
      </w:r>
    </w:p>
    <w:p w:rsidR="000D3984" w:rsidRPr="0078384C" w:rsidRDefault="000D3984" w:rsidP="007838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   Она </w:t>
      </w:r>
      <w:r w:rsidRPr="0078384C">
        <w:rPr>
          <w:rFonts w:ascii="Times New Roman" w:hAnsi="Times New Roman"/>
          <w:sz w:val="28"/>
          <w:szCs w:val="28"/>
          <w:lang w:eastAsia="ru-RU"/>
        </w:rPr>
        <w:t>является основным руководящим документом, определяющим принципы и механизмы реализации инвестиционной политики в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 xml:space="preserve"> Атяшевском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 xml:space="preserve"> муниципальном районе</w:t>
      </w:r>
      <w:r w:rsidRPr="0078384C">
        <w:rPr>
          <w:rFonts w:ascii="Times New Roman" w:hAnsi="Times New Roman"/>
          <w:sz w:val="28"/>
          <w:szCs w:val="28"/>
          <w:lang w:eastAsia="ru-RU"/>
        </w:rPr>
        <w:t>. В ней формируются принципы взаимодействия хозяйствующих субъектов, органов исполнительной власти и органов местного самоуправления.</w:t>
      </w:r>
    </w:p>
    <w:p w:rsidR="000D3984" w:rsidRPr="0078384C" w:rsidRDefault="000D3984" w:rsidP="0078384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    </w:t>
      </w:r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>Одним из инструментов создания информационного поля для инвесторов, эффективность применения которого доказана практикой, выступает инвестиционный паспорт.</w:t>
      </w:r>
    </w:p>
    <w:p w:rsidR="000D3984" w:rsidRPr="003A6EB7" w:rsidRDefault="000D3984" w:rsidP="003A6EB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>Инвестиционный паспорт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Атяшевского муниципального района - комплексный информационный бюллетень, содержащий информацию: история и культура; </w:t>
      </w:r>
      <w:r w:rsidRPr="002D72A8">
        <w:rPr>
          <w:rFonts w:ascii="Times New Roman" w:hAnsi="Times New Roman"/>
          <w:sz w:val="28"/>
          <w:szCs w:val="28"/>
        </w:rPr>
        <w:t xml:space="preserve">география и климатические условия; Административно – территориальное устройство Атяшевского муниципального района; 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параметры социально-экономического развития муниципального образования; реализованные, реализуемые и планируемые к реализации инвестиционные проекты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размещен на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инвестиционном портале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D72A8">
        <w:rPr>
          <w:rFonts w:ascii="Times New Roman" w:hAnsi="Times New Roman"/>
          <w:sz w:val="28"/>
          <w:szCs w:val="28"/>
          <w:shd w:val="clear" w:color="auto" w:fill="FFFFFF"/>
        </w:rPr>
        <w:t>Корпорация развития Республики Мордовия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Инвестиционный паспорт района включает в себя 8 инвестиционных площадок.</w:t>
      </w:r>
    </w:p>
    <w:p w:rsidR="000D3984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2017 году управлением строительства, архитектуры и ЖКХ проводился сбор и анализ информации по социально-экономическому развитию, постоянный мониторинг </w:t>
      </w:r>
      <w:proofErr w:type="gramStart"/>
      <w:r>
        <w:rPr>
          <w:rFonts w:ascii="Times New Roman" w:hAnsi="Times New Roman"/>
          <w:sz w:val="28"/>
          <w:szCs w:val="28"/>
        </w:rPr>
        <w:t>бизнес-среды</w:t>
      </w:r>
      <w:proofErr w:type="gramEnd"/>
      <w:r>
        <w:rPr>
          <w:rFonts w:ascii="Times New Roman" w:hAnsi="Times New Roman"/>
          <w:sz w:val="28"/>
          <w:szCs w:val="28"/>
        </w:rPr>
        <w:t xml:space="preserve"> и инвестиционных предложений.</w:t>
      </w:r>
    </w:p>
    <w:p w:rsidR="000D3984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частности, определены площадки под строительство индивидуальных жилых домов со 100% привлечением средств инвесторов для предоставления жилья рабочим промышленных и сельскохозяйственных предприятий:</w:t>
      </w:r>
    </w:p>
    <w:p w:rsidR="000D3984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массив расположен в юго-западной части р.п. Атяшево около села Тетюши. Примерная площадь </w:t>
      </w:r>
      <w:r w:rsidRPr="00C41703">
        <w:rPr>
          <w:rFonts w:ascii="Times New Roman" w:hAnsi="Times New Roman"/>
          <w:sz w:val="28"/>
          <w:szCs w:val="28"/>
        </w:rPr>
        <w:t>массива 29 га</w:t>
      </w:r>
      <w:proofErr w:type="gramStart"/>
      <w:r w:rsidRPr="00C41703">
        <w:rPr>
          <w:rFonts w:ascii="Times New Roman" w:hAnsi="Times New Roman"/>
          <w:sz w:val="28"/>
          <w:szCs w:val="28"/>
        </w:rPr>
        <w:t>.;</w:t>
      </w:r>
    </w:p>
    <w:p w:rsidR="000D3984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End"/>
      <w:r>
        <w:rPr>
          <w:rFonts w:ascii="Times New Roman" w:hAnsi="Times New Roman"/>
          <w:sz w:val="28"/>
          <w:szCs w:val="28"/>
        </w:rPr>
        <w:t xml:space="preserve">-   массив расположен в юго-восточной части р.п. Атяшево между ул. </w:t>
      </w:r>
      <w:proofErr w:type="gramStart"/>
      <w:r>
        <w:rPr>
          <w:rFonts w:ascii="Times New Roman" w:hAnsi="Times New Roman"/>
          <w:sz w:val="28"/>
          <w:szCs w:val="28"/>
        </w:rPr>
        <w:t>Рабочая</w:t>
      </w:r>
      <w:proofErr w:type="gramEnd"/>
      <w:r>
        <w:rPr>
          <w:rFonts w:ascii="Times New Roman" w:hAnsi="Times New Roman"/>
          <w:sz w:val="28"/>
          <w:szCs w:val="28"/>
        </w:rPr>
        <w:t xml:space="preserve"> и территорией Заготконторы;</w:t>
      </w:r>
    </w:p>
    <w:p w:rsidR="000D3984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массив расположен на территории Атяшевского городского  поселения. Площадь массива 15,5 га</w:t>
      </w:r>
      <w:proofErr w:type="gramStart"/>
      <w:r>
        <w:rPr>
          <w:rFonts w:ascii="Times New Roman" w:hAnsi="Times New Roman"/>
          <w:sz w:val="28"/>
          <w:szCs w:val="28"/>
        </w:rPr>
        <w:t>.;</w:t>
      </w:r>
    </w:p>
    <w:p w:rsidR="000D3984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End"/>
      <w:r>
        <w:rPr>
          <w:rFonts w:ascii="Times New Roman" w:hAnsi="Times New Roman"/>
          <w:sz w:val="28"/>
          <w:szCs w:val="28"/>
        </w:rPr>
        <w:lastRenderedPageBreak/>
        <w:t>- массив расположен на территории Большеманадышского сельского поселения. Площадь массива 81,2 га.</w:t>
      </w:r>
    </w:p>
    <w:p w:rsidR="000D3984" w:rsidRPr="002D72A8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По мере поступления от инвесторов заявлений  инвестиционный паспорт Атяшевского муниципального района будет актуализироваться.</w:t>
      </w:r>
    </w:p>
    <w:p w:rsidR="000D3984" w:rsidRDefault="000D3984" w:rsidP="00084346">
      <w:pPr>
        <w:pStyle w:val="11"/>
        <w:ind w:firstLine="426"/>
        <w:jc w:val="both"/>
        <w:rPr>
          <w:rFonts w:ascii="Times New Roman" w:hAnsi="Times New Roman"/>
          <w:sz w:val="28"/>
          <w:szCs w:val="28"/>
        </w:rPr>
      </w:pPr>
      <w:r w:rsidRPr="009E45D7">
        <w:rPr>
          <w:rFonts w:ascii="Times New Roman" w:hAnsi="Times New Roman"/>
          <w:sz w:val="28"/>
          <w:szCs w:val="28"/>
        </w:rPr>
        <w:t>В целях улучшения инвестиционной привлек</w:t>
      </w:r>
      <w:r>
        <w:rPr>
          <w:rFonts w:ascii="Times New Roman" w:hAnsi="Times New Roman"/>
          <w:sz w:val="28"/>
          <w:szCs w:val="28"/>
        </w:rPr>
        <w:t xml:space="preserve">ательности района </w:t>
      </w:r>
      <w:r w:rsidRPr="00084346">
        <w:rPr>
          <w:rFonts w:ascii="Times New Roman" w:hAnsi="Times New Roman"/>
          <w:sz w:val="28"/>
          <w:szCs w:val="28"/>
        </w:rPr>
        <w:t xml:space="preserve">разработаны и утверждены  административные регламенты по выдаче разрешения на ввод объекта капитального строительства в эксплуатацию, регламент подготовке и выдаче градостроительных планов земельных участков, регламент по выдаче разрешения на установку и эксплуатацию рекламной конструкции. </w:t>
      </w:r>
    </w:p>
    <w:p w:rsidR="000D3984" w:rsidRDefault="000D3984" w:rsidP="00D47784">
      <w:pPr>
        <w:pStyle w:val="a4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Глава Администрации  Атяшевского муниципал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ьного района в срок до 30 января 2018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года должен представлять Ежегодное инвестиционное послание, адресованное органом местного самоуправления Атяшевского муниципального района, инвесторам, предпринимателям и лицам, проживающи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м на территории муниципалитета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. Инвестиционное послание  является частью ежегодного  отчета Главы Атяшевского муниципального района.</w:t>
      </w:r>
    </w:p>
    <w:p w:rsidR="000D3984" w:rsidRDefault="000D3984" w:rsidP="002D72A8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 </w:t>
      </w:r>
      <w:proofErr w:type="gramStart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инвестиционном</w:t>
      </w:r>
      <w:proofErr w:type="gramEnd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послание будут отражены следующие аспекты: ит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оги работы за предыдущий период,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формирование условий для благоприятного делового климата (разработка и использование мер муниципальной поддержки инвестора и предпринимателя), снижение административных барьеров;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привлечение инвестиций,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продвижение Атяшевского муниципального района (формирование позитивного имиджа, повышение степени узнаваемости)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приоритетные задачи на следующий год.</w:t>
      </w:r>
    </w:p>
    <w:p w:rsidR="000D3984" w:rsidRDefault="000D3984" w:rsidP="002D72A8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Отчет Главы Администрации Атяшевского муниципального района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будет опубликован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на официальном интернет-сайте органов местного самоуправления Атяшевского муниципального района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0D3984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9E45D7">
        <w:rPr>
          <w:rFonts w:ascii="Times New Roman" w:hAnsi="Times New Roman"/>
          <w:sz w:val="28"/>
          <w:szCs w:val="28"/>
        </w:rPr>
        <w:t>Строительство, реконструкция, капитальный ремонт объектов наме</w:t>
      </w:r>
      <w:r>
        <w:rPr>
          <w:rFonts w:ascii="Times New Roman" w:hAnsi="Times New Roman"/>
          <w:sz w:val="28"/>
          <w:szCs w:val="28"/>
        </w:rPr>
        <w:t>ченных Планом мероприятий в 2017</w:t>
      </w:r>
      <w:r w:rsidRPr="009E45D7">
        <w:rPr>
          <w:rFonts w:ascii="Times New Roman" w:hAnsi="Times New Roman"/>
          <w:sz w:val="28"/>
          <w:szCs w:val="28"/>
        </w:rPr>
        <w:t xml:space="preserve"> году не производилось в виду отсутствия финансирования.</w:t>
      </w:r>
    </w:p>
    <w:p w:rsidR="000D3984" w:rsidRPr="009E45D7" w:rsidRDefault="000D3984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Планируется  в с. Батушево строительство социального центра, сметная стоимость объекта 88,6 млн. руб. В 2017 году подготовлена проектно-сметная документация </w:t>
      </w:r>
      <w:r w:rsidRPr="00DD2A3F">
        <w:rPr>
          <w:rFonts w:ascii="Times New Roman" w:hAnsi="Times New Roman"/>
          <w:i/>
          <w:sz w:val="28"/>
          <w:szCs w:val="28"/>
        </w:rPr>
        <w:t>(1 млн. 300 тыс. руб.).</w:t>
      </w:r>
    </w:p>
    <w:p w:rsidR="000D3984" w:rsidRDefault="000D3984" w:rsidP="002D72A8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0D3984" w:rsidRPr="006A33A4" w:rsidRDefault="000D3984" w:rsidP="0044482F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6A33A4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Блок 2: Взаимодействие с институтами развития</w:t>
      </w:r>
    </w:p>
    <w:p w:rsidR="000D3984" w:rsidRDefault="000D3984" w:rsidP="0044482F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53D8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2017 году в  районе работали</w:t>
      </w:r>
      <w:r w:rsidRPr="00853D8E">
        <w:rPr>
          <w:rFonts w:ascii="Times New Roman" w:hAnsi="Times New Roman"/>
          <w:sz w:val="28"/>
          <w:szCs w:val="28"/>
        </w:rPr>
        <w:t xml:space="preserve"> доп. офисы 4 банков: №3349/20/04 ОАО «Россельхозбанк», расположенный по адресу п.г.т. Атяшево, ул. Центральная, д.4; филиал №8589 ПАО Сбербанк, расположенный по адресу п.г.т. Атяшево, ул. Горюнова д. 3; ОАО АКБ «Актив Банк», расположенный по адресу пгт. Атяшево, ул. Ленина, д.1; АККСБ «КСБАНК» (ОАО), </w:t>
      </w:r>
      <w:proofErr w:type="gramStart"/>
      <w:r w:rsidRPr="00853D8E">
        <w:rPr>
          <w:rFonts w:ascii="Times New Roman" w:hAnsi="Times New Roman"/>
          <w:sz w:val="28"/>
          <w:szCs w:val="28"/>
        </w:rPr>
        <w:t>расположенный</w:t>
      </w:r>
      <w:proofErr w:type="gramEnd"/>
      <w:r w:rsidRPr="00853D8E">
        <w:rPr>
          <w:rFonts w:ascii="Times New Roman" w:hAnsi="Times New Roman"/>
          <w:sz w:val="28"/>
          <w:szCs w:val="28"/>
        </w:rPr>
        <w:t xml:space="preserve"> по адресу пгт. Атяшево, ул. Центральная д.18.</w:t>
      </w:r>
    </w:p>
    <w:p w:rsidR="000D3984" w:rsidRPr="00DD2A3F" w:rsidRDefault="000D3984" w:rsidP="007756B9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Кроме четырех банков  </w:t>
      </w:r>
      <w:r w:rsidRPr="00DD2A3F">
        <w:rPr>
          <w:rFonts w:ascii="Times New Roman" w:hAnsi="Times New Roman"/>
          <w:sz w:val="28"/>
          <w:szCs w:val="28"/>
        </w:rPr>
        <w:t>2 кредитных кооператива, 4 микрофинансовые организации (</w:t>
      </w:r>
      <w:r w:rsidRPr="00DD2A3F">
        <w:rPr>
          <w:rFonts w:ascii="Times New Roman" w:hAnsi="Times New Roman"/>
          <w:i/>
          <w:sz w:val="28"/>
          <w:szCs w:val="28"/>
        </w:rPr>
        <w:t>Летай деньги; Деньгофф; Русфинанс; Бизнес – центр</w:t>
      </w:r>
      <w:r>
        <w:rPr>
          <w:rFonts w:ascii="Times New Roman" w:hAnsi="Times New Roman"/>
          <w:sz w:val="28"/>
          <w:szCs w:val="28"/>
        </w:rPr>
        <w:t>)</w:t>
      </w:r>
      <w:r w:rsidRPr="00DD2A3F">
        <w:rPr>
          <w:rFonts w:ascii="Times New Roman" w:hAnsi="Times New Roman"/>
          <w:sz w:val="28"/>
          <w:szCs w:val="28"/>
        </w:rPr>
        <w:t xml:space="preserve"> и 2 страховые кампании предоставляли свои услуги населению и организациям района. </w:t>
      </w:r>
    </w:p>
    <w:p w:rsidR="000D3984" w:rsidRPr="00DD2A3F" w:rsidRDefault="000D3984" w:rsidP="007756B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2A3F">
        <w:rPr>
          <w:rFonts w:ascii="Times New Roman" w:hAnsi="Times New Roman"/>
          <w:sz w:val="28"/>
          <w:szCs w:val="28"/>
        </w:rPr>
        <w:lastRenderedPageBreak/>
        <w:t xml:space="preserve">        По имеющимся данным  за 2017 год выдано кредитов физическим лицам на сумму свыше 230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A3F">
        <w:rPr>
          <w:rFonts w:ascii="Times New Roman" w:hAnsi="Times New Roman"/>
          <w:sz w:val="28"/>
          <w:szCs w:val="28"/>
        </w:rPr>
        <w:t>млн. рублей. Наблюдается тенденция увеличения вкладов населения. За отчетный год вклады населения района на депозитные счета составили свыше 660 млн. рублей.</w:t>
      </w:r>
    </w:p>
    <w:p w:rsidR="000D3984" w:rsidRPr="00DD2A3F" w:rsidRDefault="000D3984" w:rsidP="007756B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DD2A3F">
        <w:rPr>
          <w:rFonts w:ascii="Times New Roman" w:hAnsi="Times New Roman"/>
          <w:sz w:val="28"/>
          <w:szCs w:val="28"/>
        </w:rPr>
        <w:t>Бизнес-центром</w:t>
      </w:r>
      <w:proofErr w:type="gramEnd"/>
      <w:r w:rsidRPr="00DD2A3F">
        <w:rPr>
          <w:rFonts w:ascii="Times New Roman" w:hAnsi="Times New Roman"/>
          <w:sz w:val="28"/>
          <w:szCs w:val="28"/>
        </w:rPr>
        <w:t xml:space="preserve"> выдано кредитов 28 индивидуальным предпринимателям и 6 юридическим лицам  по 44 кредитным договорам на общую сумму 7 млн. 310 тыс. руб. </w:t>
      </w:r>
      <w:r>
        <w:rPr>
          <w:rFonts w:ascii="Times New Roman" w:hAnsi="Times New Roman"/>
          <w:sz w:val="28"/>
          <w:szCs w:val="28"/>
        </w:rPr>
        <w:t>под 14% годовых</w:t>
      </w:r>
      <w:r w:rsidRPr="00DD2A3F">
        <w:rPr>
          <w:rFonts w:ascii="Times New Roman" w:hAnsi="Times New Roman"/>
          <w:sz w:val="28"/>
          <w:szCs w:val="28"/>
        </w:rPr>
        <w:t>.</w:t>
      </w:r>
    </w:p>
    <w:p w:rsidR="000D3984" w:rsidRPr="00DD2A3F" w:rsidRDefault="000D3984" w:rsidP="007756B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 </w:t>
      </w:r>
      <w:r w:rsidRPr="00DD2A3F">
        <w:rPr>
          <w:rFonts w:ascii="Times New Roman" w:hAnsi="Times New Roman"/>
          <w:sz w:val="28"/>
          <w:szCs w:val="28"/>
        </w:rPr>
        <w:t xml:space="preserve">Центра </w:t>
      </w:r>
      <w:proofErr w:type="gramStart"/>
      <w:r w:rsidRPr="00DD2A3F">
        <w:rPr>
          <w:rFonts w:ascii="Times New Roman" w:hAnsi="Times New Roman"/>
          <w:sz w:val="28"/>
          <w:szCs w:val="28"/>
        </w:rPr>
        <w:t>микро-финансовой</w:t>
      </w:r>
      <w:proofErr w:type="gramEnd"/>
      <w:r w:rsidRPr="00DD2A3F">
        <w:rPr>
          <w:rFonts w:ascii="Times New Roman" w:hAnsi="Times New Roman"/>
          <w:sz w:val="28"/>
          <w:szCs w:val="28"/>
        </w:rPr>
        <w:t xml:space="preserve"> поддержки субъектов малого и среднего бизнеса </w:t>
      </w:r>
      <w:r w:rsidRPr="00DD2A3F">
        <w:rPr>
          <w:rFonts w:ascii="Times New Roman" w:hAnsi="Times New Roman"/>
          <w:i/>
          <w:sz w:val="28"/>
          <w:szCs w:val="28"/>
        </w:rPr>
        <w:t>(г. Саранск)</w:t>
      </w:r>
      <w:r w:rsidRPr="00DD2A3F">
        <w:rPr>
          <w:rFonts w:ascii="Times New Roman" w:hAnsi="Times New Roman"/>
          <w:sz w:val="28"/>
          <w:szCs w:val="28"/>
        </w:rPr>
        <w:t xml:space="preserve">  субъектами малого бизнеса района: </w:t>
      </w:r>
      <w:proofErr w:type="gramStart"/>
      <w:r w:rsidRPr="00DD2A3F">
        <w:rPr>
          <w:rFonts w:ascii="Times New Roman" w:hAnsi="Times New Roman"/>
          <w:sz w:val="28"/>
          <w:szCs w:val="28"/>
        </w:rPr>
        <w:t xml:space="preserve">ООО Атяшевский РСУ, КФХ Од азор, КФХ Вильдим, ИП Данилов М.П., ИП Суняйкин А.Д., ИП </w:t>
      </w:r>
      <w:r>
        <w:rPr>
          <w:rFonts w:ascii="Times New Roman" w:hAnsi="Times New Roman"/>
          <w:sz w:val="28"/>
          <w:szCs w:val="28"/>
        </w:rPr>
        <w:t>Кискина О.И., Радайкин  А.В. по</w:t>
      </w:r>
      <w:r w:rsidRPr="00DD2A3F">
        <w:rPr>
          <w:rFonts w:ascii="Times New Roman" w:hAnsi="Times New Roman"/>
          <w:sz w:val="28"/>
          <w:szCs w:val="28"/>
        </w:rPr>
        <w:t>лучено микрозаймов на сумму  9845 тыс. руб. по 8% годовых).</w:t>
      </w:r>
      <w:proofErr w:type="gramEnd"/>
      <w:r w:rsidRPr="00DD2A3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D2A3F">
        <w:rPr>
          <w:rFonts w:ascii="Times New Roman" w:hAnsi="Times New Roman"/>
          <w:sz w:val="28"/>
          <w:szCs w:val="28"/>
        </w:rPr>
        <w:t>Гарантийным Фондом кредитного обеспечения РМ выдано одно поручительство субъекту малого бизнеса района ОАО Завод маслодельный Атяшевский  на сумму 5,250 млн. руб. для получения кредита на сумму 7,5 млн. руб.)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D3984" w:rsidRPr="006A33A4" w:rsidRDefault="000D3984" w:rsidP="00B32194">
      <w:pPr>
        <w:pStyle w:val="a4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6A33A4">
        <w:rPr>
          <w:rFonts w:ascii="Times New Roman" w:hAnsi="Times New Roman"/>
          <w:b/>
          <w:sz w:val="28"/>
          <w:szCs w:val="28"/>
        </w:rPr>
        <w:t>Блок №3: Оптимизация административных процедур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2194">
        <w:rPr>
          <w:rFonts w:ascii="Times New Roman" w:hAnsi="Times New Roman"/>
          <w:sz w:val="28"/>
          <w:szCs w:val="28"/>
        </w:rPr>
        <w:t>Предоставление государственных и муниципальных услуг в муниципальном казенном учреждении Атяшевского муниципального района «Многофункциональный центр предоставления государственных и муниципальных услуг»  осуществляется в соответствии с Федеральным законом от 27 июля 2010 г</w:t>
      </w:r>
      <w:r>
        <w:rPr>
          <w:rFonts w:ascii="Times New Roman" w:hAnsi="Times New Roman"/>
          <w:sz w:val="28"/>
          <w:szCs w:val="28"/>
        </w:rPr>
        <w:t>ода</w:t>
      </w:r>
      <w:r w:rsidRPr="00B32194">
        <w:rPr>
          <w:rFonts w:ascii="Times New Roman" w:hAnsi="Times New Roman"/>
          <w:sz w:val="28"/>
          <w:szCs w:val="28"/>
        </w:rPr>
        <w:t xml:space="preserve"> N 210-ФЗ "Об организации предоставления государственных и муниципальных услуг" иными нормативными правовыми актами Российской Федерации, нормативными правовыми актами Республики Мордовия, муниципальными правовыми актами Атяшевского муниципального района по принципу "одного окна</w:t>
      </w:r>
      <w:proofErr w:type="gramEnd"/>
      <w:r w:rsidRPr="00B32194">
        <w:rPr>
          <w:rFonts w:ascii="Times New Roman" w:hAnsi="Times New Roman"/>
          <w:sz w:val="28"/>
          <w:szCs w:val="28"/>
        </w:rPr>
        <w:t xml:space="preserve">", в </w:t>
      </w:r>
      <w:proofErr w:type="gramStart"/>
      <w:r w:rsidRPr="00B32194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Pr="00B32194">
        <w:rPr>
          <w:rFonts w:ascii="Times New Roman" w:hAnsi="Times New Roman"/>
          <w:sz w:val="28"/>
          <w:szCs w:val="28"/>
        </w:rPr>
        <w:t xml:space="preserve"> с которым предоставление государственной и муниципальной услуги осуществляется после однократного обращения заявителя с соответствующим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 в соответствии с нормативными правовыми актами и соглашением о взаимодействии. 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По данным системы мониторинга развития сети МФЦ, </w:t>
      </w:r>
      <w:r w:rsidRPr="001B406B">
        <w:rPr>
          <w:rFonts w:ascii="Times New Roman" w:hAnsi="Times New Roman"/>
          <w:sz w:val="28"/>
          <w:szCs w:val="28"/>
        </w:rPr>
        <w:t>95%</w:t>
      </w:r>
      <w:r w:rsidRPr="00B32194">
        <w:rPr>
          <w:rFonts w:ascii="Times New Roman" w:hAnsi="Times New Roman"/>
          <w:sz w:val="28"/>
          <w:szCs w:val="28"/>
        </w:rPr>
        <w:t xml:space="preserve"> жителей Атяшевского района имеют доступ к получению государственных и муниципальных услуг по принципу «одного окна». В соответствии с майским Указом Президента России этот показатель должен составлять не менее 90%.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На базе МФЦ Атяшевского муниципального района ведется работа по информированию и  консультированию населения, в частности предпринимателей, о порядке оказания государственных и муниципальных услуг. Разрабатываются информационные материалы, которые размещаются в МФЦ, публикуются в СМИ, а также на официальном сайте Администрации Атяшевского </w:t>
      </w:r>
      <w:proofErr w:type="gramStart"/>
      <w:r w:rsidRPr="00B32194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B32194">
        <w:rPr>
          <w:rFonts w:ascii="Times New Roman" w:hAnsi="Times New Roman"/>
          <w:sz w:val="28"/>
          <w:szCs w:val="28"/>
        </w:rPr>
        <w:t xml:space="preserve"> района. Источники информирования содержат актуальную и исчерпывающую информацию, необходимую для получения государственных и муниципальных услуг, в том числе: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lastRenderedPageBreak/>
        <w:t>- перечень государственных и муниципальных услуг, предоставление которых организовано в многофункциональном центре;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2194">
        <w:rPr>
          <w:rFonts w:ascii="Times New Roman" w:hAnsi="Times New Roman"/>
          <w:sz w:val="28"/>
          <w:szCs w:val="28"/>
        </w:rPr>
        <w:t>сроки предоставления государственных и муниципальных услуг;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размеры государственной пошлины и иных платежей, уплачиваемых заявителем при получении государственных и муниципальных услуг, порядок их уплаты;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порядок обжалования действий (бездействия), а также решений органов, предоставляющих государственные услуги, и органов, предоставляющих муниципальные услуги, государственных и муниципальных служащих, многофункциональных центров, работников многофункциональных центров;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информацию о предусмотренной законодательством Российской Федерации ответственности должностных лиц органов, предоставляющих государственные и муниципальные услуги, работников многофункционального центра, за нарушение порядка предоставления государственных и муниципальных услуг;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режим работы и адреса иных многофункциональных центров и привлекаемых организаций, находящихся на территории района;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иную информацию, необходимую для получения государственной и муниципальной услуги.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В МФЦ обеспечены: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бесплатный доступ заявителей к федеральной государственной информационной системе "Единый портал государственных и муниципальных услуг (функций)", региональному порталу государственных и муниципальных услуг (функций) для подачи заявлений в электронном виде;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регистрация в федеральной государственной информационной системе "Единая система идентификац</w:t>
      </w:r>
      <w:proofErr w:type="gramStart"/>
      <w:r w:rsidRPr="00B32194">
        <w:rPr>
          <w:rFonts w:ascii="Times New Roman" w:hAnsi="Times New Roman"/>
          <w:sz w:val="28"/>
          <w:szCs w:val="28"/>
        </w:rPr>
        <w:t>ии и ау</w:t>
      </w:r>
      <w:proofErr w:type="gramEnd"/>
      <w:r w:rsidRPr="00B32194">
        <w:rPr>
          <w:rFonts w:ascii="Times New Roman" w:hAnsi="Times New Roman"/>
          <w:sz w:val="28"/>
          <w:szCs w:val="28"/>
        </w:rPr>
        <w:t>тентификации» (ЕСИА) на безвозмездной основе;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дополнительные (</w:t>
      </w:r>
      <w:proofErr w:type="gramStart"/>
      <w:r w:rsidRPr="00B32194">
        <w:rPr>
          <w:rFonts w:ascii="Times New Roman" w:hAnsi="Times New Roman"/>
          <w:sz w:val="28"/>
          <w:szCs w:val="28"/>
        </w:rPr>
        <w:t>сопутствующих</w:t>
      </w:r>
      <w:proofErr w:type="gramEnd"/>
      <w:r w:rsidRPr="00B32194">
        <w:rPr>
          <w:rFonts w:ascii="Times New Roman" w:hAnsi="Times New Roman"/>
          <w:sz w:val="28"/>
          <w:szCs w:val="28"/>
        </w:rPr>
        <w:t>) услуги (копировально-множительные услуги, услуги местной, внутризоновой сети связи общего пользования, а также безвозмездные услуги доступа к справочным правовым системам).</w:t>
      </w:r>
    </w:p>
    <w:p w:rsidR="000D3984" w:rsidRPr="00B32194" w:rsidRDefault="000D3984" w:rsidP="007756B9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32194">
        <w:rPr>
          <w:rFonts w:ascii="Times New Roman" w:hAnsi="Times New Roman"/>
          <w:sz w:val="28"/>
          <w:szCs w:val="28"/>
        </w:rPr>
        <w:t>Среди муниципальных услуг для предпринимателей востребованы такие услуги, как: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редоставление земельных участков для целей, не связанных со строительством;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</w:t>
      </w:r>
      <w:r w:rsidRPr="00B32194">
        <w:rPr>
          <w:rFonts w:ascii="Times New Roman" w:hAnsi="Times New Roman"/>
          <w:sz w:val="28"/>
          <w:szCs w:val="28"/>
        </w:rPr>
        <w:t>аключение соглашений о внесении изменений в договоры аренды, купли-продажи земельного участка, безвозмездного срочного пользования земельным участком о перемене лиц в обязательстве, расторжении договора аренды, купли-продажи земельного участка, безвозмездного срочного пользования земельным участком;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редоставление земельных участков в постоянное  (бессрочное) пользование;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B32194">
        <w:rPr>
          <w:rFonts w:ascii="Times New Roman" w:hAnsi="Times New Roman"/>
          <w:sz w:val="28"/>
          <w:szCs w:val="28"/>
        </w:rPr>
        <w:t>родажа (приватизация) земельных участков, на которых расположены объекты недвижимости;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</w:t>
      </w:r>
      <w:r w:rsidRPr="00B32194">
        <w:rPr>
          <w:rFonts w:ascii="Times New Roman" w:hAnsi="Times New Roman"/>
          <w:sz w:val="28"/>
          <w:szCs w:val="28"/>
        </w:rPr>
        <w:t>редоставление земельных участков  из земель сельскохозяйственного назначения для  сельскохозяйственного производства  в аренду;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родажа (приватизация) переданных в аренду земельных участков из земель сельскохозяйственного назначения;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B32194">
        <w:rPr>
          <w:rFonts w:ascii="Times New Roman" w:hAnsi="Times New Roman"/>
          <w:sz w:val="28"/>
          <w:szCs w:val="28"/>
        </w:rPr>
        <w:t>ыдача разрешения на вырубку зеленых насаждений;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</w:t>
      </w:r>
      <w:r w:rsidRPr="00B32194">
        <w:rPr>
          <w:rFonts w:ascii="Times New Roman" w:hAnsi="Times New Roman"/>
          <w:sz w:val="28"/>
          <w:szCs w:val="28"/>
        </w:rPr>
        <w:t>огласование  переустройства   и  (или)  перепланировки   жилых   и      нежилых   помещений;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ринятие решения о  переводе  (или об отказе)  жилого   помещения   в   нежилое   помещение  и  нежилого      помещения  в  жилое   помещение;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B32194">
        <w:rPr>
          <w:rFonts w:ascii="Times New Roman" w:hAnsi="Times New Roman"/>
          <w:sz w:val="28"/>
          <w:szCs w:val="28"/>
        </w:rPr>
        <w:t>рисвоение, изменение и аннулирование  адреса объекта недвижимости;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</w:t>
      </w:r>
      <w:r w:rsidRPr="00B32194">
        <w:rPr>
          <w:rFonts w:ascii="Times New Roman" w:hAnsi="Times New Roman"/>
          <w:sz w:val="28"/>
          <w:szCs w:val="28"/>
        </w:rPr>
        <w:t>тверждение схемы расположения земельного участка на кадастровом плане территории кадастрового квартала;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одготовка и утверждение градостроительного плана земельного участка;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одготовка и выдача разрешений на строительство, реконструкцию, капитальный ремонт объектов капитального строительства;</w:t>
      </w:r>
    </w:p>
    <w:p w:rsidR="000D3984" w:rsidRPr="00B32194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одготовка и выдача разрешений на ввод объектов в эксплуатацию.</w:t>
      </w:r>
    </w:p>
    <w:p w:rsidR="000D3984" w:rsidRPr="007756B9" w:rsidRDefault="000D3984" w:rsidP="00B32194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7756B9">
        <w:rPr>
          <w:rFonts w:ascii="Times New Roman" w:hAnsi="Times New Roman"/>
          <w:sz w:val="28"/>
          <w:szCs w:val="28"/>
        </w:rPr>
        <w:t>Все оказываемые государственные и муниципальные услуги осуществляются на безвозмездной основе. Взимается только государственная пошлина, которая предусмотрена  налоговым законодательством.</w:t>
      </w:r>
    </w:p>
    <w:p w:rsidR="000D3984" w:rsidRPr="007756B9" w:rsidRDefault="000D3984" w:rsidP="00775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56B9">
        <w:rPr>
          <w:rFonts w:ascii="Times New Roman" w:hAnsi="Times New Roman"/>
          <w:sz w:val="28"/>
          <w:szCs w:val="28"/>
        </w:rPr>
        <w:t>В целом с неплохими показателями сработал по 2017 году МФЦ района.  На 4211 обращений поступило больше уровня 2016 года, объем денежных средств, в счет уплаты госпошлины за предоставление федеральных государственных услуг в случае подачи заявления в МФЦ,  составил 2,2 млн. рублей, что больше уровня предыдущего года на 504 тыс. руб.</w:t>
      </w:r>
    </w:p>
    <w:p w:rsidR="000D3984" w:rsidRPr="001B406B" w:rsidRDefault="000D3984" w:rsidP="007756B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1B406B">
        <w:rPr>
          <w:rFonts w:ascii="Times New Roman" w:hAnsi="Times New Roman"/>
          <w:sz w:val="28"/>
          <w:szCs w:val="28"/>
        </w:rPr>
        <w:t>Администрацией Атяшевского муниципального района определен перечень земельных участков для субъектов малого и среднего предпринимательства Атяшевского муниципального района. Перечень опубликован на официальном  сайте органов местного самоуправления Атяшевского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30C75">
        <w:rPr>
          <w:rFonts w:ascii="Times New Roman" w:hAnsi="Times New Roman"/>
          <w:sz w:val="28"/>
          <w:szCs w:val="28"/>
        </w:rPr>
        <w:t xml:space="preserve">     1. Земельный   участок  для   малого  бизнеса,   расположенный   в  кадастровом квартале 13:03:0101005 по улице Молодежной. 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30C75">
        <w:rPr>
          <w:rFonts w:ascii="Times New Roman" w:hAnsi="Times New Roman"/>
          <w:sz w:val="28"/>
          <w:szCs w:val="28"/>
        </w:rPr>
        <w:t>2. Земельный   участок  для   малого  бизнеса,   расположенный   в  кадастровом квартале 13:03:0101005 по улице Молодежной.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C30C75">
        <w:rPr>
          <w:rFonts w:ascii="Times New Roman" w:hAnsi="Times New Roman"/>
          <w:sz w:val="28"/>
          <w:szCs w:val="28"/>
        </w:rPr>
        <w:t xml:space="preserve"> 3. Земельный   участок  для   малого  бизнеса,   расположенный   в  кадастровом квартале 13:03:0101005 по улице Большевистской.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30C75">
        <w:rPr>
          <w:rFonts w:ascii="Times New Roman" w:hAnsi="Times New Roman"/>
          <w:sz w:val="28"/>
          <w:szCs w:val="28"/>
        </w:rPr>
        <w:t>4. Земельный участок  для строительства плавательного бассейна, расположенный  в кадастровом квартале 13:03:0101001 в Микрорайоне №2.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30C75">
        <w:rPr>
          <w:rFonts w:ascii="Times New Roman" w:hAnsi="Times New Roman"/>
          <w:sz w:val="28"/>
          <w:szCs w:val="28"/>
        </w:rPr>
        <w:t>5. Земельный участок для строительства детского игрового центра, расположенный в кадастровом квартале 13:03:0101001 в Микрорайоне №2.</w:t>
      </w:r>
    </w:p>
    <w:p w:rsidR="000D3984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30C75">
        <w:rPr>
          <w:rFonts w:ascii="Times New Roman" w:hAnsi="Times New Roman"/>
          <w:sz w:val="28"/>
          <w:szCs w:val="28"/>
        </w:rPr>
        <w:t xml:space="preserve">6. Земельный участок  для строительства  автомобильной мойки, расположенный в кадастровом квартале 13:03:0101003: по улице </w:t>
      </w:r>
      <w:proofErr w:type="gramStart"/>
      <w:r w:rsidRPr="00C30C75">
        <w:rPr>
          <w:rFonts w:ascii="Times New Roman" w:hAnsi="Times New Roman"/>
          <w:sz w:val="28"/>
          <w:szCs w:val="28"/>
        </w:rPr>
        <w:t>Гражданская</w:t>
      </w:r>
      <w:proofErr w:type="gramEnd"/>
      <w:r w:rsidRPr="00C30C75">
        <w:rPr>
          <w:rFonts w:ascii="Times New Roman" w:hAnsi="Times New Roman"/>
          <w:sz w:val="28"/>
          <w:szCs w:val="28"/>
        </w:rPr>
        <w:t>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C30C75">
        <w:rPr>
          <w:rFonts w:ascii="Times New Roman" w:hAnsi="Times New Roman"/>
          <w:sz w:val="28"/>
          <w:szCs w:val="28"/>
        </w:rPr>
        <w:t xml:space="preserve"> 7. Земельный участок для строительства АЗС, расположенный в кадастровом квартале 13:03:0101003 по улице </w:t>
      </w:r>
      <w:proofErr w:type="gramStart"/>
      <w:r w:rsidRPr="00C30C75">
        <w:rPr>
          <w:rFonts w:ascii="Times New Roman" w:hAnsi="Times New Roman"/>
          <w:sz w:val="28"/>
          <w:szCs w:val="28"/>
        </w:rPr>
        <w:t>Коммунистическая</w:t>
      </w:r>
      <w:proofErr w:type="gramEnd"/>
      <w:r w:rsidRPr="00C30C75">
        <w:rPr>
          <w:rFonts w:ascii="Times New Roman" w:hAnsi="Times New Roman"/>
          <w:sz w:val="28"/>
          <w:szCs w:val="28"/>
        </w:rPr>
        <w:t>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C30C75">
        <w:rPr>
          <w:rFonts w:ascii="Times New Roman" w:hAnsi="Times New Roman"/>
          <w:sz w:val="28"/>
          <w:szCs w:val="28"/>
        </w:rPr>
        <w:t xml:space="preserve"> 8. Земельный участок для организации зоны отдыха, расположенный в кадастровом квартале 13:03:0101005 за территорией ул. </w:t>
      </w:r>
      <w:proofErr w:type="gramStart"/>
      <w:r w:rsidRPr="00C30C75">
        <w:rPr>
          <w:rFonts w:ascii="Times New Roman" w:hAnsi="Times New Roman"/>
          <w:sz w:val="28"/>
          <w:szCs w:val="28"/>
        </w:rPr>
        <w:t>Молодежная</w:t>
      </w:r>
      <w:proofErr w:type="gramEnd"/>
      <w:r w:rsidRPr="00C30C75">
        <w:rPr>
          <w:rFonts w:ascii="Times New Roman" w:hAnsi="Times New Roman"/>
          <w:sz w:val="28"/>
          <w:szCs w:val="28"/>
        </w:rPr>
        <w:t>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C30C75">
        <w:rPr>
          <w:rFonts w:ascii="Times New Roman" w:hAnsi="Times New Roman"/>
          <w:sz w:val="28"/>
          <w:szCs w:val="28"/>
        </w:rPr>
        <w:t xml:space="preserve"> 9. Земельный участок для организации зоны отдыха, расположенный в кадастровом квартале 13:03:0101005 за территорией ул. </w:t>
      </w:r>
      <w:proofErr w:type="gramStart"/>
      <w:r w:rsidRPr="00C30C75">
        <w:rPr>
          <w:rFonts w:ascii="Times New Roman" w:hAnsi="Times New Roman"/>
          <w:sz w:val="28"/>
          <w:szCs w:val="28"/>
        </w:rPr>
        <w:t>Коммунистическая</w:t>
      </w:r>
      <w:proofErr w:type="gramEnd"/>
      <w:r w:rsidRPr="00C30C75">
        <w:rPr>
          <w:rFonts w:ascii="Times New Roman" w:hAnsi="Times New Roman"/>
          <w:sz w:val="28"/>
          <w:szCs w:val="28"/>
        </w:rPr>
        <w:t>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C30C75">
        <w:rPr>
          <w:rFonts w:ascii="Times New Roman" w:hAnsi="Times New Roman"/>
          <w:sz w:val="28"/>
          <w:szCs w:val="28"/>
        </w:rPr>
        <w:t>10. Земельный участок для организации зоны отдыха, расположенный в кадастровом квартале 13:03:0101002 за территорией Комсомольского парка.</w:t>
      </w:r>
    </w:p>
    <w:p w:rsidR="000D3984" w:rsidRPr="00C30C75" w:rsidRDefault="000D3984" w:rsidP="00C30C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30C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30C75">
        <w:rPr>
          <w:rFonts w:ascii="Times New Roman" w:hAnsi="Times New Roman"/>
          <w:sz w:val="28"/>
          <w:szCs w:val="28"/>
        </w:rPr>
        <w:t>11. Земельный участок  для развития средне этажного  жилищного строительства с кадастровым номером 13:03:0101001:598</w:t>
      </w:r>
    </w:p>
    <w:p w:rsidR="000D3984" w:rsidRPr="002E287C" w:rsidRDefault="000D3984" w:rsidP="00C30C7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2017 году п</w:t>
      </w:r>
      <w:r w:rsidRPr="002E287C">
        <w:rPr>
          <w:rFonts w:ascii="Times New Roman" w:hAnsi="Times New Roman"/>
          <w:sz w:val="28"/>
          <w:szCs w:val="28"/>
        </w:rPr>
        <w:t>роведен анализ влияния действующих размеров арендной платы за земельные участки и размеров арендной платы, рассчитанных, исходя из новой кадастровой стоимости, а также получения экономического и финансового эффекта от применения действующих коэффициентов. Применяемые коэффициенты направлены на недопущение значительного роста арендной платы за землю, что позволяет снизить «нагрузку» на арендаторов – субъектов малого и среднего предпринимательства.</w:t>
      </w:r>
    </w:p>
    <w:p w:rsidR="000D3984" w:rsidRPr="002E287C" w:rsidRDefault="000D3984" w:rsidP="002E287C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2E287C">
        <w:rPr>
          <w:rFonts w:ascii="Times New Roman" w:hAnsi="Times New Roman"/>
          <w:sz w:val="28"/>
          <w:szCs w:val="28"/>
        </w:rPr>
        <w:t xml:space="preserve">Обоснованные эффективные ставки земельного налога утверждены нормативными правовыми актами органов местного самоуправления сельских (городского) поселений в соответствии со статьей 394 Налогового кодекса Российской Федерации. </w:t>
      </w:r>
    </w:p>
    <w:p w:rsidR="000D3984" w:rsidRPr="006A36BB" w:rsidRDefault="000D3984" w:rsidP="006A36BB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6A36BB">
        <w:rPr>
          <w:rFonts w:ascii="Times New Roman" w:hAnsi="Times New Roman"/>
          <w:sz w:val="28"/>
          <w:szCs w:val="28"/>
        </w:rPr>
        <w:t>Перечень приоритетных категорий плательщиков земельного налога и арендной платы за земельные участки не определен.</w:t>
      </w:r>
    </w:p>
    <w:p w:rsidR="000D3984" w:rsidRDefault="000D3984" w:rsidP="006A36BB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  <w:r w:rsidRPr="006A36BB">
        <w:rPr>
          <w:b w:val="0"/>
          <w:sz w:val="28"/>
          <w:szCs w:val="28"/>
        </w:rPr>
        <w:t>На официальном сайте Администрации Атяшевского муниципального района</w:t>
      </w:r>
      <w:r>
        <w:rPr>
          <w:b w:val="0"/>
          <w:sz w:val="28"/>
          <w:szCs w:val="28"/>
        </w:rPr>
        <w:t xml:space="preserve"> размещен раздел</w:t>
      </w:r>
      <w:r w:rsidRPr="006A36B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«</w:t>
      </w:r>
      <w:r w:rsidRPr="006A36BB">
        <w:rPr>
          <w:b w:val="0"/>
          <w:sz w:val="28"/>
          <w:szCs w:val="28"/>
        </w:rPr>
        <w:t>Оценка регулирующего воздействия НПА и экспертиза НПА, затрагивающая вопросы осуществления предпринимательской и инвестиционной деятельности</w:t>
      </w:r>
      <w:r>
        <w:rPr>
          <w:b w:val="0"/>
          <w:sz w:val="28"/>
          <w:szCs w:val="28"/>
        </w:rPr>
        <w:t>».</w:t>
      </w:r>
    </w:p>
    <w:p w:rsidR="000D3984" w:rsidRPr="006A33A4" w:rsidRDefault="000D3984" w:rsidP="006A33A4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A33A4">
        <w:rPr>
          <w:rFonts w:ascii="Times New Roman" w:hAnsi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бюджетов.</w:t>
      </w:r>
    </w:p>
    <w:p w:rsidR="000D3984" w:rsidRPr="006A33A4" w:rsidRDefault="000D3984" w:rsidP="006A33A4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6A33A4">
        <w:rPr>
          <w:rFonts w:ascii="Times New Roman" w:hAnsi="Times New Roman"/>
          <w:sz w:val="28"/>
          <w:szCs w:val="28"/>
        </w:rPr>
        <w:t>Целью оценки регулирующего воздействия являются определение и оценка возможных положительных и отрицательных последствий принятия проекта нормативного правового акта муниципального образования на основе анализа проблемы, цели ее регулирования и возможных способов решения, а также выявление в проекте нормативного правового акта муниципального образования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</w:t>
      </w:r>
      <w:proofErr w:type="gramEnd"/>
      <w:r w:rsidRPr="006A33A4">
        <w:rPr>
          <w:rFonts w:ascii="Times New Roman" w:hAnsi="Times New Roman"/>
          <w:sz w:val="28"/>
          <w:szCs w:val="28"/>
        </w:rPr>
        <w:t xml:space="preserve"> положений, способствующих возникновению необоснованных расходов субъектов предпринимательской и инвестиционной деятельности, а также консолидированного бюджета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</w:t>
      </w:r>
      <w:r w:rsidRPr="006A33A4">
        <w:rPr>
          <w:rFonts w:ascii="Times New Roman" w:hAnsi="Times New Roman"/>
          <w:sz w:val="28"/>
          <w:szCs w:val="28"/>
        </w:rPr>
        <w:t>.</w:t>
      </w:r>
    </w:p>
    <w:p w:rsidR="000D3984" w:rsidRPr="003B372E" w:rsidRDefault="000D3984" w:rsidP="003B37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      </w:t>
      </w:r>
      <w:r w:rsidRPr="003B372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Распоряжением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Администрации Атяшевского муниципального района от 01.02.2017г №31 </w:t>
      </w:r>
      <w:r w:rsidRPr="003B372E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63DF9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утвержден</w:t>
      </w:r>
      <w:r w:rsidRPr="003B372E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w:anchor="sub_1000" w:history="1">
        <w:r w:rsidRPr="003B372E">
          <w:rPr>
            <w:rFonts w:ascii="Times New Roman" w:hAnsi="Times New Roman"/>
            <w:sz w:val="28"/>
            <w:szCs w:val="28"/>
            <w:lang w:eastAsia="ru-RU"/>
          </w:rPr>
          <w:t>План</w:t>
        </w:r>
      </w:hyperlink>
      <w:r w:rsidRPr="003B37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B372E">
        <w:rPr>
          <w:rFonts w:ascii="Times New Roman" w:hAnsi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3B372E">
        <w:rPr>
          <w:rFonts w:ascii="Times New Roman" w:hAnsi="Times New Roman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инвестиционной деятельности, на 2017</w:t>
      </w:r>
      <w:r>
        <w:rPr>
          <w:rFonts w:ascii="Times New Roman" w:hAnsi="Times New Roman"/>
          <w:sz w:val="28"/>
          <w:szCs w:val="28"/>
          <w:lang w:eastAsia="ru-RU"/>
        </w:rPr>
        <w:t xml:space="preserve"> год.</w:t>
      </w:r>
    </w:p>
    <w:p w:rsidR="000D3984" w:rsidRPr="003B372E" w:rsidRDefault="000D3984" w:rsidP="006A33A4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B372E">
        <w:rPr>
          <w:rFonts w:ascii="Times New Roman" w:hAnsi="Times New Roman"/>
          <w:sz w:val="28"/>
          <w:szCs w:val="28"/>
          <w:lang w:eastAsia="ru-RU"/>
        </w:rPr>
        <w:t xml:space="preserve">     За 2017 год </w:t>
      </w:r>
      <w:r>
        <w:rPr>
          <w:rFonts w:ascii="Times New Roman" w:hAnsi="Times New Roman"/>
          <w:sz w:val="28"/>
          <w:szCs w:val="28"/>
          <w:lang w:eastAsia="ru-RU"/>
        </w:rPr>
        <w:t>выдано два заключения.</w:t>
      </w:r>
    </w:p>
    <w:p w:rsidR="000D3984" w:rsidRPr="003B372E" w:rsidRDefault="000D3984" w:rsidP="006A33A4">
      <w:pPr>
        <w:rPr>
          <w:sz w:val="28"/>
          <w:szCs w:val="28"/>
        </w:rPr>
      </w:pPr>
    </w:p>
    <w:p w:rsidR="000D3984" w:rsidRDefault="000D3984" w:rsidP="00196C72"/>
    <w:p w:rsidR="000D3984" w:rsidRDefault="000D3984" w:rsidP="00196C72"/>
    <w:sectPr w:rsidR="000D3984" w:rsidSect="00D51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F Square Sans Pro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21C62"/>
    <w:multiLevelType w:val="hybridMultilevel"/>
    <w:tmpl w:val="EBB87A94"/>
    <w:lvl w:ilvl="0" w:tplc="AD9A8D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C72"/>
    <w:rsid w:val="000204B3"/>
    <w:rsid w:val="00067AC6"/>
    <w:rsid w:val="00084346"/>
    <w:rsid w:val="000D3984"/>
    <w:rsid w:val="000D4805"/>
    <w:rsid w:val="00196C72"/>
    <w:rsid w:val="001B406B"/>
    <w:rsid w:val="001D74A5"/>
    <w:rsid w:val="001F22F0"/>
    <w:rsid w:val="002350B2"/>
    <w:rsid w:val="002D72A8"/>
    <w:rsid w:val="002E287C"/>
    <w:rsid w:val="003A6EB7"/>
    <w:rsid w:val="003B372E"/>
    <w:rsid w:val="00415FE1"/>
    <w:rsid w:val="0044482F"/>
    <w:rsid w:val="006A33A4"/>
    <w:rsid w:val="006A36BB"/>
    <w:rsid w:val="006B415E"/>
    <w:rsid w:val="006D5627"/>
    <w:rsid w:val="0073395D"/>
    <w:rsid w:val="007756B9"/>
    <w:rsid w:val="0078384C"/>
    <w:rsid w:val="00853D8E"/>
    <w:rsid w:val="0086087C"/>
    <w:rsid w:val="00863DF9"/>
    <w:rsid w:val="008C1BC0"/>
    <w:rsid w:val="009B4322"/>
    <w:rsid w:val="009C04E5"/>
    <w:rsid w:val="009E45D7"/>
    <w:rsid w:val="00B32194"/>
    <w:rsid w:val="00B3345B"/>
    <w:rsid w:val="00C14938"/>
    <w:rsid w:val="00C30C75"/>
    <w:rsid w:val="00C41703"/>
    <w:rsid w:val="00D12AA9"/>
    <w:rsid w:val="00D43E31"/>
    <w:rsid w:val="00D47784"/>
    <w:rsid w:val="00D51F51"/>
    <w:rsid w:val="00DA524A"/>
    <w:rsid w:val="00DD2A3F"/>
    <w:rsid w:val="00E2570B"/>
    <w:rsid w:val="00E36CEC"/>
    <w:rsid w:val="00F0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51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6A36B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589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default">
    <w:name w:val="default"/>
    <w:basedOn w:val="a"/>
    <w:uiPriority w:val="99"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96C72"/>
    <w:rPr>
      <w:rFonts w:cs="Times New Roman"/>
    </w:rPr>
  </w:style>
  <w:style w:type="paragraph" w:customStyle="1" w:styleId="Default0">
    <w:name w:val="Default"/>
    <w:uiPriority w:val="99"/>
    <w:rsid w:val="001D74A5"/>
    <w:pPr>
      <w:autoSpaceDE w:val="0"/>
      <w:autoSpaceDN w:val="0"/>
      <w:adjustRightInd w:val="0"/>
    </w:pPr>
    <w:rPr>
      <w:rFonts w:ascii="PF Square Sans Pro" w:hAnsi="PF Square Sans Pro" w:cs="PF Square Sans Pro"/>
      <w:color w:val="000000"/>
      <w:sz w:val="24"/>
      <w:szCs w:val="24"/>
      <w:lang w:eastAsia="en-US"/>
    </w:rPr>
  </w:style>
  <w:style w:type="paragraph" w:styleId="a4">
    <w:name w:val="No Spacing"/>
    <w:uiPriority w:val="99"/>
    <w:qFormat/>
    <w:rsid w:val="002D72A8"/>
    <w:rPr>
      <w:lang w:eastAsia="en-US"/>
    </w:rPr>
  </w:style>
  <w:style w:type="character" w:styleId="a5">
    <w:name w:val="Hyperlink"/>
    <w:basedOn w:val="a0"/>
    <w:uiPriority w:val="99"/>
    <w:semiHidden/>
    <w:rsid w:val="001F22F0"/>
    <w:rPr>
      <w:rFonts w:cs="Times New Roman"/>
      <w:color w:val="0000FF"/>
      <w:u w:val="single"/>
    </w:rPr>
  </w:style>
  <w:style w:type="paragraph" w:customStyle="1" w:styleId="11">
    <w:name w:val="Без интервала1"/>
    <w:uiPriority w:val="99"/>
    <w:rsid w:val="00084346"/>
    <w:rPr>
      <w:rFonts w:eastAsia="Times New Roman"/>
      <w:lang w:eastAsia="en-US"/>
    </w:rPr>
  </w:style>
  <w:style w:type="character" w:styleId="a6">
    <w:name w:val="Strong"/>
    <w:basedOn w:val="a0"/>
    <w:uiPriority w:val="99"/>
    <w:qFormat/>
    <w:locked/>
    <w:rsid w:val="0078384C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51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6A36B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589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default">
    <w:name w:val="default"/>
    <w:basedOn w:val="a"/>
    <w:uiPriority w:val="99"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96C72"/>
    <w:rPr>
      <w:rFonts w:cs="Times New Roman"/>
    </w:rPr>
  </w:style>
  <w:style w:type="paragraph" w:customStyle="1" w:styleId="Default0">
    <w:name w:val="Default"/>
    <w:uiPriority w:val="99"/>
    <w:rsid w:val="001D74A5"/>
    <w:pPr>
      <w:autoSpaceDE w:val="0"/>
      <w:autoSpaceDN w:val="0"/>
      <w:adjustRightInd w:val="0"/>
    </w:pPr>
    <w:rPr>
      <w:rFonts w:ascii="PF Square Sans Pro" w:hAnsi="PF Square Sans Pro" w:cs="PF Square Sans Pro"/>
      <w:color w:val="000000"/>
      <w:sz w:val="24"/>
      <w:szCs w:val="24"/>
      <w:lang w:eastAsia="en-US"/>
    </w:rPr>
  </w:style>
  <w:style w:type="paragraph" w:styleId="a4">
    <w:name w:val="No Spacing"/>
    <w:uiPriority w:val="99"/>
    <w:qFormat/>
    <w:rsid w:val="002D72A8"/>
    <w:rPr>
      <w:lang w:eastAsia="en-US"/>
    </w:rPr>
  </w:style>
  <w:style w:type="character" w:styleId="a5">
    <w:name w:val="Hyperlink"/>
    <w:basedOn w:val="a0"/>
    <w:uiPriority w:val="99"/>
    <w:semiHidden/>
    <w:rsid w:val="001F22F0"/>
    <w:rPr>
      <w:rFonts w:cs="Times New Roman"/>
      <w:color w:val="0000FF"/>
      <w:u w:val="single"/>
    </w:rPr>
  </w:style>
  <w:style w:type="paragraph" w:customStyle="1" w:styleId="11">
    <w:name w:val="Без интервала1"/>
    <w:uiPriority w:val="99"/>
    <w:rsid w:val="00084346"/>
    <w:rPr>
      <w:rFonts w:eastAsia="Times New Roman"/>
      <w:lang w:eastAsia="en-US"/>
    </w:rPr>
  </w:style>
  <w:style w:type="character" w:styleId="a6">
    <w:name w:val="Strong"/>
    <w:basedOn w:val="a0"/>
    <w:uiPriority w:val="99"/>
    <w:qFormat/>
    <w:locked/>
    <w:rsid w:val="0078384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59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91745">
              <w:marLeft w:val="3638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91756">
          <w:marLeft w:val="0"/>
          <w:marRight w:val="0"/>
          <w:marTop w:val="600"/>
          <w:marBottom w:val="300"/>
          <w:divBdr>
            <w:top w:val="single" w:sz="6" w:space="0" w:color="C2C2C2"/>
            <w:left w:val="single" w:sz="6" w:space="0" w:color="C2C2C2"/>
            <w:bottom w:val="single" w:sz="6" w:space="0" w:color="C2C2C2"/>
            <w:right w:val="single" w:sz="6" w:space="0" w:color="C2C2C2"/>
          </w:divBdr>
        </w:div>
      </w:divsChild>
    </w:div>
    <w:div w:id="186359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2384</Words>
  <Characters>13593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2018-01-30T11:21:00Z</dcterms:created>
  <dcterms:modified xsi:type="dcterms:W3CDTF">2018-01-30T11:21:00Z</dcterms:modified>
</cp:coreProperties>
</file>