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DD6" w:rsidRPr="00FC7DD6" w:rsidRDefault="00FC7DD6" w:rsidP="00FC7D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C7DD6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Памятка о том, какие услуги ПФР доступны в электронном виде</w:t>
      </w:r>
    </w:p>
    <w:p w:rsidR="004B7F1E" w:rsidRDefault="004B7F1E"/>
    <w:p w:rsidR="00FC7DD6" w:rsidRDefault="00FC7DD6">
      <w:r>
        <w:rPr>
          <w:noProof/>
          <w:lang w:eastAsia="ru-RU"/>
        </w:rPr>
        <w:drawing>
          <wp:inline distT="0" distB="0" distL="0" distR="0">
            <wp:extent cx="6327366" cy="4476307"/>
            <wp:effectExtent l="19050" t="0" r="0" b="0"/>
            <wp:docPr id="1" name="Рисунок 1" descr="C:\Users\011KudashkinaL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1KudashkinaLN\Desktop\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440" cy="447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7DD6" w:rsidSect="004B7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FC7DD6"/>
    <w:rsid w:val="004B7F1E"/>
    <w:rsid w:val="00FC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D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7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7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35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2016-12-27T07:01:00Z</dcterms:created>
  <dcterms:modified xsi:type="dcterms:W3CDTF">2016-12-27T07:01:00Z</dcterms:modified>
</cp:coreProperties>
</file>