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6C" w:rsidRDefault="00FC566C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0C141E" w:rsidRDefault="000C141E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</w:pPr>
    </w:p>
    <w:p w:rsidR="000C141E" w:rsidRPr="000C141E" w:rsidRDefault="000C141E" w:rsidP="000C141E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C141E">
        <w:rPr>
          <w:rFonts w:ascii="Times New Roman" w:hAnsi="Times New Roman" w:cs="Times New Roman"/>
          <w:sz w:val="28"/>
          <w:szCs w:val="28"/>
        </w:rPr>
        <w:t xml:space="preserve">СОВЕТ ДЕПУТАТОВ АЛОВСКОГО СЕЛЬСКОГО ПОСЕЛЕНИЯ АТЯШЕВСКОГО МУНИЦИПАЛЬНОГО РАЙОНА </w:t>
      </w:r>
    </w:p>
    <w:p w:rsidR="000C141E" w:rsidRPr="000C141E" w:rsidRDefault="000C141E" w:rsidP="000C141E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C141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141E" w:rsidRPr="000C141E" w:rsidRDefault="000C141E" w:rsidP="000C141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14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C141E" w:rsidRPr="000C141E" w:rsidRDefault="000C141E" w:rsidP="000C141E">
      <w:pPr>
        <w:rPr>
          <w:rFonts w:ascii="Times New Roman" w:hAnsi="Times New Roman" w:cs="Times New Roman"/>
        </w:rPr>
      </w:pPr>
    </w:p>
    <w:p w:rsidR="000C141E" w:rsidRPr="000C141E" w:rsidRDefault="000C141E" w:rsidP="000C141E">
      <w:pPr>
        <w:rPr>
          <w:rFonts w:ascii="Times New Roman" w:hAnsi="Times New Roman" w:cs="Times New Roman"/>
          <w:sz w:val="24"/>
          <w:szCs w:val="24"/>
        </w:rPr>
      </w:pPr>
      <w:r w:rsidRPr="000C141E">
        <w:rPr>
          <w:rFonts w:ascii="Times New Roman" w:hAnsi="Times New Roman" w:cs="Times New Roman"/>
          <w:sz w:val="24"/>
          <w:szCs w:val="24"/>
        </w:rPr>
        <w:t>от  29   декабря 2016 г                                                                                              №  26</w:t>
      </w:r>
    </w:p>
    <w:p w:rsidR="000C141E" w:rsidRDefault="000C141E" w:rsidP="000C141E"/>
    <w:p w:rsidR="000C141E" w:rsidRPr="00AD0B1E" w:rsidRDefault="000C141E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</w:pPr>
    </w:p>
    <w:p w:rsidR="00FC566C" w:rsidRPr="00AD0B1E" w:rsidRDefault="00FC566C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b/>
          <w:bCs/>
          <w:color w:val="00466E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  <w:t>Об утверждении </w:t>
      </w:r>
      <w:hyperlink r:id="rId5" w:history="1">
        <w:r w:rsidRPr="00AD0B1E">
          <w:rPr>
            <w:rFonts w:ascii="Times New Roman" w:hAnsi="Times New Roman" w:cs="Times New Roman"/>
            <w:b/>
            <w:bCs/>
            <w:color w:val="00466E"/>
            <w:spacing w:val="2"/>
            <w:sz w:val="24"/>
            <w:szCs w:val="24"/>
            <w:lang w:eastAsia="ru-RU"/>
          </w:rPr>
          <w:t xml:space="preserve">Порядка осуществления проверки годового отчета об исполнении бюджета муниципального образования </w:t>
        </w:r>
      </w:hyperlink>
      <w:r w:rsidR="00E73722" w:rsidRPr="00AD0B1E">
        <w:rPr>
          <w:rFonts w:ascii="Times New Roman" w:hAnsi="Times New Roman" w:cs="Times New Roman"/>
          <w:b/>
          <w:bCs/>
          <w:color w:val="00466E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b/>
          <w:bCs/>
          <w:color w:val="00466E"/>
          <w:spacing w:val="2"/>
          <w:sz w:val="24"/>
          <w:szCs w:val="24"/>
          <w:lang w:eastAsia="ru-RU"/>
        </w:rPr>
        <w:t xml:space="preserve"> сельского поселения</w:t>
      </w:r>
    </w:p>
    <w:p w:rsidR="00FC566C" w:rsidRPr="00AD0B1E" w:rsidRDefault="00FC566C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</w:p>
    <w:p w:rsidR="00FC566C" w:rsidRPr="00AD0B1E" w:rsidRDefault="00FC566C" w:rsidP="0060497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В соответствии со </w:t>
      </w:r>
      <w:hyperlink r:id="rId6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статьей 264.4 Бюджетного кодекса Российской Федерации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Положением о бюджетном процессе 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Аловском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сельском поселении Атяшевского муниципального района РМ, утвержденным решением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от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28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ноября 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2008 г. №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52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</w:t>
      </w: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D0B1E" w:rsidRDefault="00FC566C" w:rsidP="0005182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t xml:space="preserve">Совет депутатов </w:t>
      </w:r>
      <w:r w:rsidR="00E73722"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t xml:space="preserve"> сельского поселения</w:t>
      </w:r>
    </w:p>
    <w:p w:rsidR="00FC566C" w:rsidRPr="00AD0B1E" w:rsidRDefault="00FC566C" w:rsidP="0005182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t xml:space="preserve"> решил:</w:t>
      </w: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1. Утвердить Порядок осуществления внешней проверки годового отчета об исполнении бюджета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Мордовия.</w:t>
      </w: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2. Настоящее решение вступает в силу со дня его официального опубликования.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Default="00FC566C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D0B1E" w:rsidRDefault="00AD0B1E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D0B1E" w:rsidRPr="00AD0B1E" w:rsidRDefault="00AD0B1E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AD0B1E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Глава Аловского сельского поселения:                                           </w:t>
      </w:r>
      <w:r w:rsidR="00FC566C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А.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</w:t>
      </w:r>
      <w:r w:rsidR="00FC566C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Сорокин</w:t>
      </w: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D0B1E" w:rsidRPr="00AD0B1E" w:rsidRDefault="00AD0B1E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Утвержден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решением Совета депутатов 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</w:t>
      </w:r>
      <w:r w:rsidR="00FC707D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ельского поселения</w:t>
      </w:r>
      <w:r w:rsidR="00FC707D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от 29.12.20</w:t>
      </w:r>
      <w:r w:rsidR="003F787C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16 г.  № 26</w:t>
      </w:r>
    </w:p>
    <w:p w:rsidR="00FC566C" w:rsidRPr="00AD0B1E" w:rsidRDefault="00FC566C" w:rsidP="00DC7CB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566C" w:rsidRPr="00AD0B1E" w:rsidRDefault="00FC566C" w:rsidP="00DC7CB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  <w:t xml:space="preserve">ПОРЯДОК </w:t>
      </w:r>
    </w:p>
    <w:p w:rsidR="00FC566C" w:rsidRPr="00AD0B1E" w:rsidRDefault="00FC566C" w:rsidP="00AD0B1E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  <w:t xml:space="preserve">осуществления внешней проверки годового отчета об исполнении бюджета </w:t>
      </w:r>
      <w:r w:rsidR="00E73722" w:rsidRPr="00AD0B1E"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b/>
          <w:bCs/>
          <w:color w:val="3C3C3C"/>
          <w:spacing w:val="2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</w:t>
      </w:r>
      <w:r w:rsidRPr="00AD0B1E">
        <w:rPr>
          <w:rFonts w:ascii="Times New Roman" w:hAnsi="Times New Roman" w:cs="Times New Roman"/>
          <w:b/>
          <w:bCs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 </w:t>
      </w: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t>1. Общие положения</w:t>
      </w:r>
    </w:p>
    <w:p w:rsidR="00FC566C" w:rsidRPr="00AD0B1E" w:rsidRDefault="00FC566C" w:rsidP="0060497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1.1. Настоящий Порядок разработан в соответствии с </w:t>
      </w:r>
      <w:hyperlink r:id="rId7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Бюджетным кодексом Российской Федерации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Положением о бюджетном процессе в </w:t>
      </w:r>
      <w:r w:rsidR="007D4E9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овском сельском поселении в целях регулирования деятельности участников бюджетного процесса при организации и проведении внешней проверки годового отчета об исполнении 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1.2.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Целью разработки Порядка является установление единых приемов и подходов к организации и проведению внешней проверки годовой бюджетной отчетности главных администраторов доходов местного бюджета, главных распорядителей средств местного бюджета и главных администраторов источников финансирования дефицита бюджета поселения (далее - главных администраторов средств местного бюджета) по вопросам установления достоверности годовой бюджетной отчетности и подготовки заключения на годовой отчет об исполнении 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1.3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Внешняя проверка годового отчета об исполнении бюджета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(далее - внешняя проверка) осуществляется контрольно-счетным органом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в соответствии с </w:t>
      </w:r>
      <w:hyperlink r:id="rId8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Бюджетным кодексом Российской Федерации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Положением о бюджетном процессе в </w:t>
      </w:r>
      <w:r w:rsidR="007D4E9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овском сельском поселении Атяшевского муниципального района РМ.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1.4. Годовой отчет об исполнении  бюджета поселения до его рассмотрения Советом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подлежит внешней проверке, которая включает: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внешнюю проверку годовой бюджетной отчетности главных администраторов средств 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подготовку заключения на годовой отчет об исполнении  бюджета поселения.</w:t>
      </w:r>
    </w:p>
    <w:p w:rsidR="00FC566C" w:rsidRPr="00AD0B1E" w:rsidRDefault="00FC566C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t>2. Понятие, цель и предмет внешней проверки годовой бюджетной отчетности главных администраторов</w:t>
      </w:r>
    </w:p>
    <w:p w:rsidR="00FC566C" w:rsidRPr="00AD0B1E" w:rsidRDefault="00FC566C" w:rsidP="00604973">
      <w:pPr>
        <w:shd w:val="clear" w:color="auto" w:fill="FFFFFF"/>
        <w:spacing w:after="0" w:line="315" w:lineRule="atLeast"/>
        <w:jc w:val="lowKashida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2.1. Внешняя проверка годовой бюджетной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отчетности главных администраторов средств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представляет собой систему обязательных контрольных 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действий по проверке годовой бюджетной отчетности по составу, соответствию установленным формам, достоверности отражения показателей бюджетной отчетности и их соответствию инструкции по бюджетному учету.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2.2. Целью проведения внешней проверки является: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установление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полноты бюджетной отчетности главных администраторов средств  бюджета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оценка достоверности показателей бюджетной отчетности главных администраторов средств 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проверка на соответствие порядку ведения бюджетного учета, законодательству Российской Федерации, Республики Мордовия, муниципальным правовым актам Атяшевского района;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анализ эффективности и результативности использования бюджетных средств.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2.3. Объектом внешней проверки являются главные администраторы средств 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2.4.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Предметом внешней проверки являются годовая бюджетная отчетность, состав и формы которой утверждены </w:t>
      </w:r>
      <w:hyperlink r:id="rId9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утвержденной </w:t>
      </w:r>
      <w:hyperlink r:id="rId10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Приказом Минфина России от 28.12.2010 N 191н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 (далее - Инструкция Минфина), главная книга, регистры бюджетного учета, материалы инвентаризаций и другие материалы в соответствии с законодательством.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2.5.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процессе проведения внешней проверки необходимо решить следующие задачи: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проверить соблюдение единого порядка составления и предоставления годовой бюджетной отчетности главных администраторов средств 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проверить состав и содержание форм годовой бюджетной отчетности согласно Инструкции Минфина;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установить достоверность и тождественность показателей бюджетной отчетности и регистров бюджетного учета;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провести сравнительный анализ и сопоставление полученных данных годовой бюджетной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отчетности главных администраторов средств 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 показателями, утвержденными решением Совета депутатов о  бюджете  поселения на отчетный финансовый год, сводной бюджетной росписи и показателями, содержащимися в отчете об исполнении  бюджета поселения за отчетный финансовый год.</w:t>
      </w:r>
    </w:p>
    <w:p w:rsidR="00FC566C" w:rsidRPr="00AD0B1E" w:rsidRDefault="00FC566C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lastRenderedPageBreak/>
        <w:t>3. Подготовка внешней проверки годовой бюджетной отчетности</w:t>
      </w:r>
    </w:p>
    <w:p w:rsidR="00FC566C" w:rsidRPr="00AD0B1E" w:rsidRDefault="00FC566C" w:rsidP="0060497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3.1.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Подготовка к проведению внешней проверки включает в себя: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подготовку и утверждение приказа председателя Контрольно-счетным органом о проведении и составе рабочей группы внешней проверки;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сбор и изучение нормативной и правовой базы, на основании которой осуществлялся бюджетный процесс в отчетном году;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подготовку необходимых для внешней проверки запросов и изучение полученной информации;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разработку и утверждение программы проведения внешней проверки.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3.2.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Подготовка и утверждение программы проведения внешней проверки осуществляются в порядке, установленном в Контрольно-счетном органе. Перечень вопросов, подлежащих проверке, определяется на основе полученной информации и других материалов. В программе указываются исполнители и сроки исполнения.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3.3. Главные администраторы средств  бюджета поселения не позднее 10 марта текущего финансового года представляют годовую бюджетную отчетность в Контрольно-счетный орган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для внешней проверки.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3.4. Главный бухгалтер Администрации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одновременно с предоставлением годовой бюджетной отчетности представляет в Контрольно-счетный орган реестр муниципального имущества по состоянию на отчетную дату.</w:t>
      </w:r>
    </w:p>
    <w:p w:rsidR="00FC566C" w:rsidRPr="00AD0B1E" w:rsidRDefault="00FC566C" w:rsidP="00604973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t>4. Проведение внешней проверки годовой бюджетной отчетности</w:t>
      </w:r>
    </w:p>
    <w:p w:rsidR="00FC566C" w:rsidRPr="00AD0B1E" w:rsidRDefault="00FC566C" w:rsidP="0068776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4.1. При проведении внешней проверки Контрольно-счетный орган осуществляет проверку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отчетности главных администраторов средств 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как камерально, так и с выходом на объект проверки. В ходе внешней проверки годовой бюджетной отчетности применяются выборочные методы.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4.2. Основные вопросы внешней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проверки годовой бюджетной отчетности главных администраторов средств 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методы их проверки: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4.2.1. Анализ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форм бюджетной отчетности главного администратора средств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При анализе форм бюджетной отчетности необходимо проверить: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состав годовой бюджетной отчетности;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обоснованность, достоверность, полноту отражения показателей в формах отчетности, соответствие данных о стоимости активов, обязатель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ств в гр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афах "На начало года", данным граф "На конец отчетного периода" предыдущего года;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контрольные соотношения между показателями форм бюджетной отчетности.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4.2.2. Доходы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Проверить бюджетную отчетность главного администратора средств местного бюджета на предмет: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организации ведения бюджетного учета в части доходов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организации учета и контроля за правильностью исчисления, полнотой и своевременностью осуществления платежей в бюджет, пеней и штрафов по ним;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организации работы по взысканию задолженности по платежам в  бюджет поселения, пеней и штрафов по ним;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организации работы за правильностью и своевременностью принятия решений о возврате или зачете излишне уплаченных (взысканных) платежей в бюджет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организации учета доходов от использования муниципальной собственности, в том числе их отражения в отчетности об исполнении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выполнения администраторами доходов бюджета поселения показателей поступлений доходов в бюджет поселения в отчетном финансовом году;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достоверности бюджетной отчетности за отчетный финансовый год в части доходов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При необходимости могут быть проверены другие вопросы.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4.2.3. Расходы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Проанализировать исполнение решения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бюджете поселения за отчетный финансовый год главным распорядителем средств бюджета поселения, в том числе проверить: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выполнение полномочий главного распорядителя в части распределения средств бюджета поселения по подведомственным распорядителям и получателям средств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своевременность утверждения бюджетных смет (для казенных учреждений), а также законность и обоснованность документов, на основании которых вносились изменения в утвержденную бюджетную смету в части распределения средств между ее статьями, соответствие бюджетных смет утвержденным объемам ассигнований и доведенных лимитов;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соответствие сводной бюджетной росписи утвержденному бюджету, а также своевременность утверждения и доведения уведомлений о бюджетных ассигнованиях, лимитах бюджетных обязательств и объемах финансирования расходов до главных распорядителей, распорядителей и получателей средств бюджета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проведение перераспределения средств бюджета поселения между различными статьями расходов без необходимых обоснований и согласований;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соблюдение порядка ведения реестра расходных обязательств;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полноту и своевременность финансирования расходов местного бюджета, в том числе за счет остатков средств бюджета поселения на 1 января отчетного финансового года, в 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разрезе разделов, подразделов, целевых статей и видов расходов классификации расходов бюджетов Российской Федерации;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неиспользованные объемы финансирования бюджета поселения, прекратившие свое действие 31 декабря отчетного финансового года;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осуществление расходов бюджета поселения, не утвержденных решением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бюджете поселения, или не включенных в уточненную бюджетную роспись (в случае, если они имели место);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соответствие объема и структуры кассовых расходов главного распорядителя утвержденным (уточненным) показателям бюджетной росписи и лимитам бюджетных обязательств;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соблюдение порядка использования и управления муниципальной собственностью и имуществом в соответствии с требованиями нормативных правовых актов, в том числе в части сдачи муниципального имущества в аренду (выборочно);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соответствие сумм договоров, заключенных получателем средств бюджета поселения, полученным лимитам бюджетных обязательств; соблюдение законодательства при заключении договоров (выборочно);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качество планирования расходов бюджета поселения - оценка объема внесенных изменений в сводную бюджетную роспись и его структура;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качество исполнения бюджета поселения по расходам - оценка объема неисполненных лимитов бюджетных обязательств и их соотношение с кассовыми расходами, соотношение кассовых расходов с показателями, утвержденными решением о бюджете на отчетный финансовый год, и уточненной бюджетной росписью, равномерность кассовых расходов в течение финансового года (соотношение кассовых расходов IV квартала с кассовыми расходами I - III кварталов);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объем кредиторской и дебиторской задолженности по средствам бюджета поселения по состоянию на 1 января отчетного финансового года и 1 января очередного финансового года, причины их образования, а также принимаемые меры по их погашению.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При необходимости могут быть проверены другие вопросы.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При выявлении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фактов нецелевого использования средств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указать сумму по разделу, подразделу, целевой статье, виду расходов и коду классификации операций сектора государственного управления, на которые следует отнести данные расходы.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При выявлении иных нарушений бюджетного законодательства указать сумму по разделам и подразделам классификации расходов бюджетов Российской Федерации.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4.2.4. Источники финансирования дефицита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Проверить исполнение решения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бюджете поселения за отчетный финансовый год и бюджетную отчетность администратора источников финансирования дефицита бюджета поселения в части: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1) соответствия нормативных правовых документов, применяемых в ходе исполнения бюджета поселения  за отчетный финансовый год, </w:t>
      </w:r>
      <w:hyperlink r:id="rId11" w:history="1">
        <w:r w:rsidRPr="00AD0B1E">
          <w:rPr>
            <w:rFonts w:ascii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Бюджетному кодексу Российской Федерации</w:t>
        </w:r>
      </w:hyperlink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(с изменениями), решению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бюджете поселения;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2) достоверности бюджетной отчетности об исполнении бюджета поселения за отчетный финансовый год, ее соответствия показателям, установленным решением о бюджете поселения, сводной бюджетной росписью и уточненной бюджетной росписью;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3) изменения (увеличение, уменьшение) остатков средств бюджета поселения на лицевых счетах администратора источников финансирования дефицита местного бюджета в Отделе №4 Управления Федерального казначейства по Республике Мордовия, в том числе: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установить перечень лицевых счетов администратора источников финансирования дефицита бюджета поселения, действующих в отчетном финансовом году, остатки на которых включены в состав остатков средств бюджета поселения;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установить сумму изменения (увеличения, уменьшения) остатков средств, включенных в состав остатков средств бюджета поселения за отчетный финансовый год, отраженную на счетах администратора источников финансирования дефицита бюджета поселения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сопоставить данные, полученные по результатам проверки в части изменения (увеличения, уменьшения) остатков средств бюджета поселения в отчетном финансовом году на счетах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администратора источников финансирования дефицита бюджета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поселения, с данными бюджетной отчетности главного администратора средств бюджета поселения, при наличии отклонений проанализировать их причины;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проанализировать причины увеличения (уменьшения) остатков средств бюджета поселения за отчетный финансовый год на счетах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администратора источников финансирования дефицита бюджета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4.2.5.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Другие вопросы: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1) анализ исполнения текстовых статей решения Совета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о бюджете поселения отчетного финансового года;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2) анализ финансирования и фактического исполнения муниципальных программ в отчетном финансовом году;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3) комплексная оценка состояния и эффективности системы внутреннего финансового контроля.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4.3.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Проверка проводится методом сравнения, с целью установления достоверности показателей бюджетной отчетности и регистров бюджетного учета.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4.4. Проверка проводится по каждой форме бюджетной отчетности раздельно путем сопоставления показателей, содержащихся в соответствующей форме с остатками и оборотами по счетам главной книги.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В тех случаях, когда показатели, содержащиеся в форме отчетности, не могут быть проверены по данным главной книги, то проверяющие используют соответствующие регистры аналитического учета.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4.5.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Проверка достоверности определяет: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согласуются ли между собой результаты операций, финансовое положение и другая информация в бюджетной отчетности;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должным ли образом раскрыта необходимая информация и правильно ли квалифицированы и представлены данные в бюджетной отчетности;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соответствует ли бюджетная отчетность всем требованиям законодательства и других нормативных актов, применяемых к деятельности муниципального образования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4.6.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ходе осуществления внешней проверки Контрольно-счетным органом вправе в пределах своих полномочий запрашивать дополнительную информацию и документы у главных администраторов средств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4.7. Главные администраторы средств бюджета поселения обязаны предоставлять Контрольно-счетному органу необходимую информацию и документы в течение 3 рабочих дней с момента получения запроса.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4.8. По всем расхождениям, выявленным в ходе проверки, необходимо получить пояснения ответственных лиц в письменной форме.</w:t>
      </w:r>
    </w:p>
    <w:p w:rsidR="00FC566C" w:rsidRPr="00AD0B1E" w:rsidRDefault="00FC566C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t>5. Оформление результатов внешней проверки годовой бюджетной отчетности</w:t>
      </w:r>
    </w:p>
    <w:p w:rsidR="00FC566C" w:rsidRPr="00AD0B1E" w:rsidRDefault="00FC566C" w:rsidP="00687761">
      <w:pPr>
        <w:shd w:val="clear" w:color="auto" w:fill="FFFFFF"/>
        <w:spacing w:after="0" w:line="315" w:lineRule="atLeast"/>
        <w:jc w:val="lowKashida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5.1. Результаты внешней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проверки годовой бюджетной отчетности главных администраторов средств бюджета поселения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оформляются заключениями в срок до 30 марта текущего финансового года. Срок оформления заключений по каждому администратору средств бюджета поселения определяется приказом председателя Контрольно-счетного органа в зависимости от объема работы.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5.2. В заключении выражается мнение о достоверности, недостоверности бюджетной отчетности или производится отказ от выражения мнения о достоверности бюджетной 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отчетности. При наличии недостоверных данных указываются причины и следствия, которые привели к недостоверности бюджетной отчетности.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Отказ от выражения мнения о достоверности бюджетной отчетности производится в случаях непредставления необходимых данных для подтверждения достоверности бюджетной отчетности (непредставления соответствующих форм бюджетной отчетности, отсутствия необходимых показателей в одной форме по взаимоувязанным показателям другой формы отчетности и т.п.).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5.3. В заключени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и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должна быть раскрыта информация по всем вопросам внешней проверки бюджетной отчетности главных администраторов бюджетных средств, а также четко указаны: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основные принципы и методы ведения бюджетного учета и подготовки бюджетной отчетности;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тождественность показателей бюджетного учета;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соответствие показателей бюджетной отчетности показателям синтетического и аналитического учета;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оценка показателей по исполнению средств бюджета поселения и др.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5.4. В заключении в обязательном порядке указывается наличие расхождений показателей бюджетного учета и отчетности, их причины и предложения об исправлении.</w:t>
      </w:r>
    </w:p>
    <w:p w:rsidR="00FC566C" w:rsidRPr="00AD0B1E" w:rsidRDefault="00FC566C" w:rsidP="0068776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4C4C4C"/>
          <w:spacing w:val="2"/>
          <w:sz w:val="24"/>
          <w:szCs w:val="24"/>
          <w:lang w:eastAsia="ru-RU"/>
        </w:rPr>
        <w:t>6. Подготовка заключения на годовой отчет об исполнении бюджета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поселения</w:t>
      </w:r>
    </w:p>
    <w:p w:rsidR="00FC566C" w:rsidRPr="00AD0B1E" w:rsidRDefault="00FC566C" w:rsidP="0068776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6.1.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Администрация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в срок не позднее 1 апреля текущего года представляет в Контрольно-счетный орган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годовой отчет об исполнении бюджета поселения для подготовки заключения с одновременным представлением следующих документов: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- отчет об использовании бюджетных ассигнований резервного фонда Администрации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решения о внесении изменений в сводную бюджетную роспись без внесения изменений в решение о бюджете;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информацию об исполнении мероприятий в рамках муниципальных программ.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6.2. Контрольно-счетный орган готовит заключение на отчет об исполнении бюджета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на основании данных внешней </w:t>
      </w:r>
      <w:proofErr w:type="gramStart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проверки годовой бюджетной отчетности главных администраторов средств бюджета</w:t>
      </w:r>
      <w:proofErr w:type="gramEnd"/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 xml:space="preserve">6.3. Заключение на годовой отчет об исполнении бюджета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представляется Контрольно-счетным органом не позднее 1 мая текущего финансового года в Совет депутатов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 с одновременным направлением в Администрацию </w:t>
      </w:r>
      <w:r w:rsidR="00E73722"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Аловского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сельского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6.4. В случае установления отклонений по результатам проверки показателей годового отчета об исполнении бюджета поселения за отчетный финансовый год от показателей по результатам проверок главных администраторов средств бюджета  поселения у главного администратора средств бюджета поселения проводится дополнительная проверка, в ходе которой анализируются причины и условия, повлиявшие на указанные несоответствия, в том числе: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анализ отклонения показателя по результатам проверки главного администратора средств бюджета поселения, по которому было установлено отклонение от показателя годового отчета об исполнении бюджета поселения за отчетный финансовый год;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- анализ первичных документов, на основе которых были внесены соответствующие изменения в бюджетную отчетность главного администратора средств бюджета поселения.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Результаты дополнительной проверки учитываются в заключение Контрольно-счетного органа на отчет об исполнении бюджета поселения  за отчетный финансовый год в срок, установленный приказом Контрольно-счетного органа.</w:t>
      </w:r>
      <w:r w:rsidRPr="00AD0B1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FC566C" w:rsidRPr="00AD0B1E" w:rsidRDefault="00FC566C">
      <w:pPr>
        <w:rPr>
          <w:rFonts w:ascii="Times New Roman" w:hAnsi="Times New Roman" w:cs="Times New Roman"/>
          <w:sz w:val="24"/>
          <w:szCs w:val="24"/>
        </w:rPr>
      </w:pPr>
    </w:p>
    <w:sectPr w:rsidR="00FC566C" w:rsidRPr="00AD0B1E" w:rsidSect="0000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378"/>
    <w:rsid w:val="000017C2"/>
    <w:rsid w:val="0005182B"/>
    <w:rsid w:val="000C141E"/>
    <w:rsid w:val="000C36CC"/>
    <w:rsid w:val="002C436E"/>
    <w:rsid w:val="002F1378"/>
    <w:rsid w:val="003F787C"/>
    <w:rsid w:val="00455C08"/>
    <w:rsid w:val="004A2DF6"/>
    <w:rsid w:val="00536DBD"/>
    <w:rsid w:val="00566FF7"/>
    <w:rsid w:val="005708A2"/>
    <w:rsid w:val="00604973"/>
    <w:rsid w:val="00687761"/>
    <w:rsid w:val="007D4E95"/>
    <w:rsid w:val="008074DA"/>
    <w:rsid w:val="00957E10"/>
    <w:rsid w:val="009C7A5F"/>
    <w:rsid w:val="00AD0B1E"/>
    <w:rsid w:val="00BA6EEB"/>
    <w:rsid w:val="00DC7CBD"/>
    <w:rsid w:val="00E73722"/>
    <w:rsid w:val="00EF5594"/>
    <w:rsid w:val="00F115A6"/>
    <w:rsid w:val="00FC566C"/>
    <w:rsid w:val="00FC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17C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455C08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455C08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20">
    <w:name w:val="Заголовок 2 Знак"/>
    <w:basedOn w:val="a0"/>
    <w:link w:val="2"/>
    <w:locked/>
    <w:rsid w:val="00455C08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locked/>
    <w:rsid w:val="00455C08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customStyle="1" w:styleId="headertext">
    <w:name w:val="header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5C08"/>
    <w:rPr>
      <w:rFonts w:cs="Times New Roman"/>
    </w:rPr>
  </w:style>
  <w:style w:type="paragraph" w:customStyle="1" w:styleId="formattext">
    <w:name w:val="format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rsid w:val="00455C0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957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957E10"/>
    <w:rPr>
      <w:rFonts w:ascii="Tahoma" w:hAnsi="Tahoma" w:cs="Tahoma"/>
      <w:sz w:val="16"/>
      <w:szCs w:val="16"/>
    </w:rPr>
  </w:style>
  <w:style w:type="paragraph" w:customStyle="1" w:styleId="a1">
    <w:name w:val="Знак"/>
    <w:basedOn w:val="a"/>
    <w:link w:val="a0"/>
    <w:rsid w:val="000C141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17C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455C08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455C08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20">
    <w:name w:val="Заголовок 2 Знак"/>
    <w:basedOn w:val="a0"/>
    <w:link w:val="2"/>
    <w:locked/>
    <w:rsid w:val="00455C08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locked/>
    <w:rsid w:val="00455C08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customStyle="1" w:styleId="headertext">
    <w:name w:val="header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5C08"/>
    <w:rPr>
      <w:rFonts w:cs="Times New Roman"/>
    </w:rPr>
  </w:style>
  <w:style w:type="paragraph" w:customStyle="1" w:styleId="formattext">
    <w:name w:val="format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rsid w:val="00455C0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957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957E10"/>
    <w:rPr>
      <w:rFonts w:ascii="Tahoma" w:hAnsi="Tahoma" w:cs="Tahoma"/>
      <w:sz w:val="16"/>
      <w:szCs w:val="16"/>
    </w:rPr>
  </w:style>
  <w:style w:type="paragraph" w:customStyle="1" w:styleId="a1">
    <w:name w:val="Знак"/>
    <w:basedOn w:val="a"/>
    <w:link w:val="a0"/>
    <w:rsid w:val="000C141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714433" TargetMode="External"/><Relationship Id="rId11" Type="http://schemas.openxmlformats.org/officeDocument/2006/relationships/hyperlink" Target="http://docs.cntd.ru/document/901714433" TargetMode="External"/><Relationship Id="rId5" Type="http://schemas.openxmlformats.org/officeDocument/2006/relationships/hyperlink" Target="http://docs.cntd.ru/document/453134117" TargetMode="External"/><Relationship Id="rId10" Type="http://schemas.openxmlformats.org/officeDocument/2006/relationships/hyperlink" Target="http://docs.cntd.ru/document/9022546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546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3056</Words>
  <Characters>17421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проект</vt:lpstr>
    </vt:vector>
  </TitlesOfParts>
  <Company>*</Company>
  <LinksUpToDate>false</LinksUpToDate>
  <CharactersWithSpaces>20437</CharactersWithSpaces>
  <SharedDoc>false</SharedDoc>
  <HLinks>
    <vt:vector size="42" baseType="variant"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6357105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http://docs.cntd.ru/document/902254657</vt:lpwstr>
      </vt:variant>
      <vt:variant>
        <vt:lpwstr/>
      </vt:variant>
      <vt:variant>
        <vt:i4>6357105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http://docs.cntd.ru/document/902254657</vt:lpwstr>
      </vt:variant>
      <vt:variant>
        <vt:lpwstr/>
      </vt:variant>
      <vt:variant>
        <vt:i4>6291570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6291570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7078003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http://docs.cntd.ru/document/453134117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2016-12-28T06:00:00Z</cp:lastPrinted>
  <dcterms:created xsi:type="dcterms:W3CDTF">2017-02-07T11:27:00Z</dcterms:created>
  <dcterms:modified xsi:type="dcterms:W3CDTF">2017-02-07T11:27:00Z</dcterms:modified>
</cp:coreProperties>
</file>