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262" w:rsidRPr="00D327C4" w:rsidRDefault="00820262" w:rsidP="00D327C4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bookmarkStart w:id="0" w:name="_GoBack"/>
      <w:bookmarkEnd w:id="0"/>
      <w:r w:rsidRPr="00D327C4">
        <w:rPr>
          <w:rFonts w:ascii="Tahoma" w:hAnsi="Tahoma" w:cs="Tahoma"/>
          <w:b/>
          <w:bCs/>
          <w:color w:val="454141"/>
          <w:sz w:val="24"/>
          <w:szCs w:val="24"/>
          <w:lang w:eastAsia="ru-RU"/>
        </w:rPr>
        <w:t xml:space="preserve">                                                                                             </w:t>
      </w:r>
    </w:p>
    <w:p w:rsidR="00820262" w:rsidRPr="00D327C4" w:rsidRDefault="00820262" w:rsidP="0054621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</w:pPr>
      <w:proofErr w:type="gramStart"/>
      <w:r w:rsidRPr="00D327C4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П</w:t>
      </w:r>
      <w:proofErr w:type="gramEnd"/>
      <w:r w:rsidRPr="00D327C4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 О С Т А Н О В Л Е Н И Е</w:t>
      </w:r>
    </w:p>
    <w:p w:rsidR="00820262" w:rsidRPr="00D327C4" w:rsidRDefault="00820262" w:rsidP="0054621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Администрации </w:t>
      </w:r>
      <w:r w:rsidR="00B478C6" w:rsidRPr="00D327C4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Аловского</w:t>
      </w:r>
      <w:r w:rsidRPr="00D327C4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 сельского поселения</w:t>
      </w:r>
    </w:p>
    <w:p w:rsidR="00820262" w:rsidRPr="00D327C4" w:rsidRDefault="00820262" w:rsidP="0054621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Атяшевского </w:t>
      </w:r>
      <w:proofErr w:type="gramStart"/>
      <w:r w:rsidRPr="00D327C4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муниципального</w:t>
      </w:r>
      <w:proofErr w:type="gramEnd"/>
      <w:r w:rsidRPr="00D327C4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 района Республики Мордовия</w:t>
      </w:r>
    </w:p>
    <w:p w:rsidR="00820262" w:rsidRPr="00D327C4" w:rsidRDefault="00820262" w:rsidP="0054621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 </w:t>
      </w:r>
    </w:p>
    <w:p w:rsidR="00820262" w:rsidRPr="00D327C4" w:rsidRDefault="00D327C4" w:rsidP="00B047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от</w:t>
      </w:r>
      <w:r w:rsidR="00820262"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  </w:t>
      </w:r>
      <w:r w:rsidR="001D3C06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30 ноября 2016 г.</w:t>
      </w:r>
      <w:r w:rsidR="00820262"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                </w:t>
      </w: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                                                                №</w:t>
      </w:r>
      <w:r w:rsidR="001D3C06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135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b/>
          <w:color w:val="454141"/>
          <w:sz w:val="24"/>
          <w:szCs w:val="24"/>
          <w:lang w:eastAsia="ru-RU"/>
        </w:rPr>
        <w:t xml:space="preserve">с. </w:t>
      </w:r>
      <w:r w:rsidR="00B478C6" w:rsidRPr="00D327C4">
        <w:rPr>
          <w:rFonts w:ascii="Times New Roman" w:hAnsi="Times New Roman" w:cs="Times New Roman"/>
          <w:b/>
          <w:color w:val="454141"/>
          <w:sz w:val="24"/>
          <w:szCs w:val="24"/>
          <w:lang w:eastAsia="ru-RU"/>
        </w:rPr>
        <w:t>Алово</w:t>
      </w:r>
    </w:p>
    <w:p w:rsidR="00820262" w:rsidRPr="00D327C4" w:rsidRDefault="00820262" w:rsidP="0054621F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                                             </w:t>
      </w:r>
    </w:p>
    <w:tbl>
      <w:tblPr>
        <w:tblW w:w="14419" w:type="dxa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072"/>
        <w:gridCol w:w="5347"/>
      </w:tblGrid>
      <w:tr w:rsidR="00820262" w:rsidRPr="00D327C4">
        <w:trPr>
          <w:tblCellSpacing w:w="0" w:type="dxa"/>
        </w:trPr>
        <w:tc>
          <w:tcPr>
            <w:tcW w:w="9072" w:type="dxa"/>
          </w:tcPr>
          <w:p w:rsidR="00820262" w:rsidRPr="00D327C4" w:rsidRDefault="00820262" w:rsidP="00B047F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454141"/>
                <w:sz w:val="24"/>
                <w:szCs w:val="24"/>
                <w:lang w:eastAsia="ru-RU"/>
              </w:rPr>
            </w:pPr>
            <w:r w:rsidRPr="00D327C4">
              <w:rPr>
                <w:rFonts w:ascii="Times New Roman" w:hAnsi="Times New Roman" w:cs="Times New Roman"/>
                <w:b/>
                <w:bCs/>
                <w:color w:val="454141"/>
                <w:sz w:val="24"/>
                <w:szCs w:val="24"/>
                <w:lang w:eastAsia="ru-RU"/>
              </w:rPr>
              <w:t xml:space="preserve">О порядке и методике планирования бюджетных ассигнований бюджета </w:t>
            </w:r>
            <w:r w:rsidR="00B478C6" w:rsidRPr="00D327C4">
              <w:rPr>
                <w:rFonts w:ascii="Times New Roman" w:hAnsi="Times New Roman" w:cs="Times New Roman"/>
                <w:b/>
                <w:bCs/>
                <w:color w:val="454141"/>
                <w:sz w:val="24"/>
                <w:szCs w:val="24"/>
                <w:lang w:eastAsia="ru-RU"/>
              </w:rPr>
              <w:t>Аловского</w:t>
            </w:r>
            <w:r w:rsidRPr="00D327C4">
              <w:rPr>
                <w:rFonts w:ascii="Times New Roman" w:hAnsi="Times New Roman" w:cs="Times New Roman"/>
                <w:b/>
                <w:bCs/>
                <w:color w:val="454141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5347" w:type="dxa"/>
          </w:tcPr>
          <w:p w:rsidR="00820262" w:rsidRPr="00D327C4" w:rsidRDefault="00820262" w:rsidP="0054621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454141"/>
                <w:sz w:val="24"/>
                <w:szCs w:val="24"/>
                <w:lang w:eastAsia="ru-RU"/>
              </w:rPr>
            </w:pPr>
            <w:r w:rsidRPr="00D327C4">
              <w:rPr>
                <w:rFonts w:ascii="Times New Roman" w:hAnsi="Times New Roman" w:cs="Times New Roman"/>
                <w:b/>
                <w:bCs/>
                <w:color w:val="454141"/>
                <w:sz w:val="24"/>
                <w:szCs w:val="24"/>
                <w:lang w:eastAsia="ru-RU"/>
              </w:rPr>
              <w:t> </w:t>
            </w:r>
          </w:p>
        </w:tc>
      </w:tr>
    </w:tbl>
    <w:p w:rsidR="00820262" w:rsidRPr="00D327C4" w:rsidRDefault="00820262" w:rsidP="0054621F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 </w:t>
      </w:r>
    </w:p>
    <w:p w:rsidR="00820262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   В соответствии со статьей 174.2 Бюджетного кодекса Российской Федерации</w:t>
      </w:r>
    </w:p>
    <w:p w:rsidR="00D327C4" w:rsidRDefault="00D327C4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D327C4" w:rsidRDefault="00D327C4" w:rsidP="00D327C4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454141"/>
          <w:sz w:val="24"/>
          <w:szCs w:val="24"/>
          <w:lang w:eastAsia="ru-RU"/>
        </w:rPr>
      </w:pPr>
      <w:proofErr w:type="gramStart"/>
      <w:r w:rsidRPr="00D327C4">
        <w:rPr>
          <w:rFonts w:ascii="Times New Roman" w:hAnsi="Times New Roman" w:cs="Times New Roman"/>
          <w:b/>
          <w:color w:val="454141"/>
          <w:sz w:val="24"/>
          <w:szCs w:val="24"/>
          <w:lang w:eastAsia="ru-RU"/>
        </w:rPr>
        <w:t>п</w:t>
      </w:r>
      <w:proofErr w:type="gramEnd"/>
      <w:r w:rsidRPr="00D327C4">
        <w:rPr>
          <w:rFonts w:ascii="Times New Roman" w:hAnsi="Times New Roman" w:cs="Times New Roman"/>
          <w:b/>
          <w:color w:val="454141"/>
          <w:sz w:val="24"/>
          <w:szCs w:val="24"/>
          <w:lang w:eastAsia="ru-RU"/>
        </w:rPr>
        <w:t xml:space="preserve"> о с та н о в л я е т:</w:t>
      </w:r>
    </w:p>
    <w:p w:rsidR="00D327C4" w:rsidRPr="00D327C4" w:rsidRDefault="00D327C4" w:rsidP="00D327C4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454141"/>
          <w:sz w:val="24"/>
          <w:szCs w:val="24"/>
          <w:lang w:eastAsia="ru-RU"/>
        </w:rPr>
      </w:pPr>
    </w:p>
    <w:p w:rsidR="00820262" w:rsidRPr="00D327C4" w:rsidRDefault="00820262" w:rsidP="00190B9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         1. Утвердить Порядок и методику планирования бюджетных ассигнований бюджета </w:t>
      </w:r>
      <w:r w:rsidR="00B478C6"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 .</w:t>
      </w:r>
    </w:p>
    <w:p w:rsidR="00820262" w:rsidRPr="00D327C4" w:rsidRDefault="00D327C4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        2.</w:t>
      </w:r>
      <w:r w:rsidR="00820262"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Настоящее постановление вступает в силу со дня его официального опубликования.</w:t>
      </w:r>
    </w:p>
    <w:p w:rsidR="00820262" w:rsidRPr="00D327C4" w:rsidRDefault="001D3C06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        </w:t>
      </w:r>
      <w:r w:rsidR="00820262"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3. </w:t>
      </w:r>
      <w:proofErr w:type="gramStart"/>
      <w:r w:rsidR="00820262"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Контроль за</w:t>
      </w:r>
      <w:proofErr w:type="gramEnd"/>
      <w:r w:rsidR="00820262"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820262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</w:t>
      </w:r>
    </w:p>
    <w:p w:rsidR="00D327C4" w:rsidRDefault="00D327C4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D327C4" w:rsidRDefault="00D327C4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D327C4" w:rsidRPr="00D327C4" w:rsidRDefault="00D327C4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820262" w:rsidRPr="00D327C4" w:rsidRDefault="00D327C4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color w:val="454141"/>
          <w:sz w:val="24"/>
          <w:szCs w:val="24"/>
          <w:lang w:eastAsia="ru-RU"/>
        </w:rPr>
        <w:t xml:space="preserve"> </w:t>
      </w:r>
      <w:r w:rsidRPr="00D327C4">
        <w:rPr>
          <w:rFonts w:ascii="Times New Roman" w:hAnsi="Times New Roman" w:cs="Times New Roman"/>
          <w:bCs/>
          <w:color w:val="454141"/>
          <w:sz w:val="24"/>
          <w:szCs w:val="24"/>
          <w:lang w:eastAsia="ru-RU"/>
        </w:rPr>
        <w:t>Глава Аловского сельского поселения:</w:t>
      </w:r>
      <w:r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                                          </w:t>
      </w:r>
      <w:r w:rsidR="00820262" w:rsidRPr="00D327C4">
        <w:rPr>
          <w:rFonts w:ascii="Times New Roman" w:hAnsi="Times New Roman" w:cs="Times New Roman"/>
          <w:bCs/>
          <w:color w:val="454141"/>
          <w:sz w:val="24"/>
          <w:szCs w:val="24"/>
          <w:lang w:eastAsia="ru-RU"/>
        </w:rPr>
        <w:t>А.</w:t>
      </w:r>
      <w:r w:rsidR="00B478C6" w:rsidRPr="00D327C4">
        <w:rPr>
          <w:rFonts w:ascii="Times New Roman" w:hAnsi="Times New Roman" w:cs="Times New Roman"/>
          <w:bCs/>
          <w:color w:val="454141"/>
          <w:sz w:val="24"/>
          <w:szCs w:val="24"/>
          <w:lang w:eastAsia="ru-RU"/>
        </w:rPr>
        <w:t>А</w:t>
      </w:r>
      <w:r w:rsidR="00820262" w:rsidRPr="00D327C4">
        <w:rPr>
          <w:rFonts w:ascii="Times New Roman" w:hAnsi="Times New Roman" w:cs="Times New Roman"/>
          <w:bCs/>
          <w:color w:val="454141"/>
          <w:sz w:val="24"/>
          <w:szCs w:val="24"/>
          <w:lang w:eastAsia="ru-RU"/>
        </w:rPr>
        <w:t xml:space="preserve">. </w:t>
      </w:r>
      <w:r w:rsidR="00B478C6" w:rsidRPr="00D327C4">
        <w:rPr>
          <w:rFonts w:ascii="Times New Roman" w:hAnsi="Times New Roman" w:cs="Times New Roman"/>
          <w:bCs/>
          <w:color w:val="454141"/>
          <w:sz w:val="24"/>
          <w:szCs w:val="24"/>
          <w:lang w:eastAsia="ru-RU"/>
        </w:rPr>
        <w:t>Сорокин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</w:t>
      </w:r>
    </w:p>
    <w:p w:rsidR="00820262" w:rsidRPr="00D327C4" w:rsidRDefault="00820262" w:rsidP="00D327C4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Утвержден</w:t>
      </w:r>
    </w:p>
    <w:p w:rsidR="00820262" w:rsidRPr="00D327C4" w:rsidRDefault="00820262" w:rsidP="00D327C4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                                                                    постановлением администрации</w:t>
      </w:r>
    </w:p>
    <w:p w:rsidR="00820262" w:rsidRPr="00D327C4" w:rsidRDefault="00820262" w:rsidP="00D327C4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                                                                   </w:t>
      </w:r>
      <w:r w:rsidR="00B478C6"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</w:t>
      </w:r>
    </w:p>
    <w:p w:rsidR="00820262" w:rsidRPr="00D327C4" w:rsidRDefault="001D3C06" w:rsidP="00D327C4">
      <w:pPr>
        <w:tabs>
          <w:tab w:val="left" w:pos="5340"/>
        </w:tabs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ab/>
        <w:t xml:space="preserve">  от 30.11.2016 г.  № 135</w:t>
      </w:r>
    </w:p>
    <w:p w:rsidR="00820262" w:rsidRPr="00D327C4" w:rsidRDefault="00820262" w:rsidP="00B047FE">
      <w:pPr>
        <w:tabs>
          <w:tab w:val="left" w:pos="5340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820262" w:rsidRPr="00D327C4" w:rsidRDefault="00820262" w:rsidP="00B8446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Порядок и методика  планирования бюджетных ассигнований бюджета</w:t>
      </w: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</w:t>
      </w:r>
      <w:r w:rsidR="00B478C6" w:rsidRPr="00D327C4">
        <w:rPr>
          <w:rFonts w:ascii="Times New Roman" w:hAnsi="Times New Roman" w:cs="Times New Roman"/>
          <w:b/>
          <w:color w:val="454141"/>
          <w:sz w:val="24"/>
          <w:szCs w:val="24"/>
          <w:lang w:eastAsia="ru-RU"/>
        </w:rPr>
        <w:t>Аловского</w:t>
      </w:r>
      <w:r w:rsidRPr="00D327C4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 сельского поселения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 1. Общие положения</w:t>
      </w:r>
    </w:p>
    <w:p w:rsidR="00820262" w:rsidRPr="00D327C4" w:rsidRDefault="00820262" w:rsidP="00190B9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1.1. Настоящие порядок и методика планирования бюджетных ассигнований бюджета </w:t>
      </w:r>
      <w:r w:rsidR="00B478C6"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  (далее – Порядок) разработаны в соответствии со статьей 174.2 Бюджетного кодекса Российской Федерации, а так же Положением «О бюджетном процессе в </w:t>
      </w:r>
      <w:r w:rsidR="00B478C6"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Аловском</w:t>
      </w: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сельском поселении», утвержденным Решением Совета депутатов </w:t>
      </w:r>
      <w:r w:rsidR="00B478C6"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 от  2</w:t>
      </w:r>
      <w:r w:rsidR="00B478C6"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8</w:t>
      </w: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</w:t>
      </w:r>
      <w:r w:rsidR="00B478C6"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ноября</w:t>
      </w: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2008 г. № </w:t>
      </w:r>
      <w:r w:rsidR="00B478C6"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52</w:t>
      </w: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Формирование бюджетных ассигнований бюджета </w:t>
      </w:r>
      <w:r w:rsidR="00B478C6"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 осуществляется с учетом программно-целевого принципа в соответствии с утвержденными муниципальными программами.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1.2. Для целей настоящего Порядка: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1.2.1. Бюджетные ассигнования планируются по видам в соответствии со статьёй 69 Бюджетного кодекса Российской Федерации и рассчитываются с учетом положений статей 69.1, 70, 74.1, 78, 78.1, 79, 80 Бюджетного кодекса Российской Федерации.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1.2.2. При расчете предельных объемов бюджетных ассигнований используются следующие методы расчета на исполнение расходного обязательства в очередном финансовом году и плановом периоде.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Нормативный метод - расчет бюджетных ассигнований на основе нормативов, утвержденных в соответствующем правовом акте.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К расходным обязательствам, объем которых определяется нормативным методом, относятся расходные обязательства, подразумевающие определение объема бюджетных ассигнований на основе нормативов.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Метод индексации - расчет объема бюджетных ассигнований путем увеличения объема бюджетных ассигнований текущего (отчетного) года на принятый коэффициент.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К расходным обязательствам, объем которых определяется методом индексации, относятся расходные обязательства по оплате транспортных, коммунальных услуг, приобретению услуг связи, а также иные расходные обязательства, подразумевающие определение объема расходов на основе коэффициентов увеличения (уменьшения) объемов расходных обязательств (частей расходных обязательств).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lastRenderedPageBreak/>
        <w:t>Плановый метод - установление объема бюджетных ассигнований в соответствии с показателями, указанными в нормативном правовом акте, договоре, паспорте программы, условиях займа, либо в соответствии со сметной стоимостью объекта.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Иной метод - определение объема бюджетных ассигнований методами, не подпадающими под определения нормативного метода, метода индексации и планового метода.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Каждый из применяемых методов должен обеспечивать однозначность получения итоговых значений.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1.2.3. Составляется реестр расходных обязательств (далее – РРО), в котором указываются правовые основания возникновения действующих либо принимаемых расходных обязательств, в соответствии с требованиями п. 2 ст. 174.2 Бюджетного кодекса Российской Федерации.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1.3. В целях планирования бюджетных ассигнований главный распорядитель бюджетных средств и главный администратор источников финансирования дефицита (далее – главный администратор бюджетных средств (ГАБС)) заполняет соответствующие предложения по объему и распределению бюджетных ассигнований на очередной финансовый год и плановый период.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ГАБС использует для планирования: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- перечень муниципальных программ </w:t>
      </w:r>
      <w:r w:rsidR="00B478C6"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поселения, утвержденный постановлением администрации </w:t>
      </w:r>
      <w:r w:rsidR="00B478C6"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поселения;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- бюджетную классификацию, утвержденную Приказом Министерства финансов Российской Федерации.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1.4. Планирование бюджетных ассигнований осуществляется раздельно по бюджетным ассигнованиям на исполнение действующих и принимаемых расходных обязательств.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1.5. </w:t>
      </w:r>
      <w:proofErr w:type="gramStart"/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В соответствии с пунктом 3 статьи 174.2 Бюджетного кодекса Российской Федерации планирование объема бюджетных ассигнований на оказание муниципальных услуг физическим и юридическим лицам осуществляется с учетом проекта на очередной финансовый год, а также его выполнения в отчетном и текущем годах.</w:t>
      </w:r>
      <w:proofErr w:type="gramEnd"/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1.6. Объем бюджетных ассигнований на финансовое обеспечение материальных затрат осуществляется с учетом планируемых закупок на очередной финансовый год и плановый период в соответствии с требованиями федерального законодательства.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</w:t>
      </w:r>
      <w:r w:rsidRPr="00D327C4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2. Методика планирования бюджетных ассигнований бюджета </w:t>
      </w:r>
      <w:r w:rsidR="00B478C6" w:rsidRPr="00D327C4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Аловского</w:t>
      </w:r>
      <w:r w:rsidRPr="00D327C4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 сельского поселения.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 </w:t>
      </w: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Планирование объемов бюджетных ассигнований бюджета </w:t>
      </w:r>
      <w:r w:rsidR="00B478C6"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осуществляется по программным расходам (расходным обязательствам, включенным в муниципальные программы) и непрограммным расходам.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2.1. Планирование бюджетных ассигнований на исполнение действующих расходных обязательств на текущий год.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lastRenderedPageBreak/>
        <w:t> 2.1.1. Предельные объемы бюджетных ассигнований, формируемые в рамках муниципальных программ, планируются исходя из объемов бюджетных ассигнований, утвержденных в данных программах.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2.1.1.1. Объемы бюджетных ассигнований на исполнение действующих расходных обязательств, прогнозируется исходя из ожидаемого исполнения за предыдущий год (показатели сводной бюджетной росписи на предыдущий год по состоянию на 01 октября предыдущего года) с учетом настоящего раздела Порядка.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2.1.1.2. Объемы бюджетных ассигнований на оплату труда выборным должностным лицам, осуществляющим свои полномочия на постоянной основе, лицам, замещающих муниципальные должности, должности муниципальной службы, служащих и иных категорий работников  на уровне прошлого года.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Начисления на оплату труда рассчитываются на основании установленного размера взносов на обязательное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страхование, по страховым тарифам на обязательное социальное страхование от несчастных случаев на производстве и профессиональных заболеваний.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2.1.1.3. Объемы бюджетных ассигнований на оплату поставок товаров, выполнения работ, оказания услуг для муниципальных нужд рассчитываются следующим образом: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- расходы по оплате  коммунальных услуг рассчитываются исходя из ожидаемого объема расходов в предыдущем году и необходимости сокращения потребления энергетических ресурсов ежегодно на 3 процента, согласно приложению к настоящей методике с учетом возможности бюджета;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- расходы на материальные затраты определяются на основании потребности и с учетом возможности бюджета поселения.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2.1.1.4. Объемы бюджетных ассигнований в части расходов на содержание, ремонт, капитальный ремонт, строительство и реконструкцию объектов дорожного хозяйства рассчитываются в пределах бюджетных ассигнований муниципального дорожного фонда, определенных в соответствии с решением Совета депутатов поселения.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2.1.1.5. Объемы бюджетных ассигнований на предоставление межбюджетных трансфертов определяются в соответствии с нормативными правовыми актами </w:t>
      </w:r>
      <w:r w:rsidR="00B478C6"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 сельского поселения, устанавливающими соответствующие расходные обязательства.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2.1.1.6. Объемы бюджетных ассигнований на уплату налога на имущество организаций, транспортного, земельного налогов определяются исходя из прогноза налогооблагаемой базы и налоговых ставок с учетом 4-х сроков уплаты налогов.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2.1.1.7. Объемы бюджетных ассигнований на реализацию муниципальных целевых программ рассчитываются на основании утвержденных соответствующими нормативными правовыми актами объемов финансирования.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2.1.1.8. Объемы бюджетных ассигнований по остальным видам расходов определяются исходя из ожидаемого исполнения за предыдущий год с учетом коэффициента 1,0.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lastRenderedPageBreak/>
        <w:t>2.1.2. Предельные объемы бюджетных ассигнований в рамках непрограммной деятельности планируются исходя из ожидаемого исполнения за предыдущий год с учетом коэффициента 1,0.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2.1.3. Бюджетные ассигнования за счет целевых средств республиканского бюджета (субвенции, субсидии, иные межбюджетные трансферты) на очередной финансовый год планируются в соответствии с утвержденным законом Республики Мордовия о республиканском бюджете на очередной финансовый год и плановый период.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2.2. Отраслевые особенности планирования бюджетных ассигнований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2.2..1. Муниципальное управление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Фонд </w:t>
      </w:r>
      <w:proofErr w:type="gramStart"/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оплаты труда работников органов местного самоуправления</w:t>
      </w:r>
      <w:proofErr w:type="gramEnd"/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</w:t>
      </w:r>
      <w:r w:rsidR="00B478C6"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 определяется согласно штатной численности и ведомственной структуры.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Расходы на оплату труда работников органов местного самоуправления определены на основе, утвержденных </w:t>
      </w:r>
      <w:proofErr w:type="gramStart"/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размеров оплаты труда</w:t>
      </w:r>
      <w:proofErr w:type="gramEnd"/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текущего финансового года  и параметрами формирования бюджета.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Объемы бюджетных ассигнований на уплату региональных налогов (налог на имущество организаций) рассчитываются  исходя из объема средств, предусмотренных на эти цели в текущем финансовом году в бюджете с учетом необходимости оплаты платежей за четыре квартала. При этом объемы расходов на уплату налогов могут быть скорректированы исходя из фактической потребности.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2.2.2. Другие общегосударственные вопросы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В соответствии со статьей 1841 БК в бюджете  поселения  предусматриваются условно утвержденные расходы 1,3 процента от общего объема расходов бюджета.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2.2.3. Национальна экономика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По подразделу «Дорожное хозяйство (дорожные фонды)» в бюджете поселения предусмотрены бюджетные ассигнования на содержание автомобильных дорог общего пользования местного значения поселения за счет субсидий из республиканского бюджета.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2.2.4. Жилищно-коммунальное хозяйство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Полномочия по отрасли «Жилищно-коммунальное хозяйство» выполняются бюджетом поселения и определяются следующим образом: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- расходы на уличное освещение определяются исходя из количества потребляемой электроэнергии и ожидаемых тарифов на электроэнергию.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2.2.5. Культура</w:t>
      </w:r>
    </w:p>
    <w:p w:rsidR="00820262" w:rsidRPr="00D327C4" w:rsidRDefault="00820262" w:rsidP="00B047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По подразделу «Культура» предусмотрены бюджетные ассигнования на финансирование мероприятий в сфере культуры на уровне текущего года с учетом возможности бюджета.</w:t>
      </w:r>
    </w:p>
    <w:p w:rsidR="00820262" w:rsidRPr="00D327C4" w:rsidRDefault="00820262" w:rsidP="00D327C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7C4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</w:t>
      </w:r>
    </w:p>
    <w:sectPr w:rsidR="00820262" w:rsidRPr="00D327C4" w:rsidSect="002F1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BE"/>
    <w:rsid w:val="00190B93"/>
    <w:rsid w:val="001D3C06"/>
    <w:rsid w:val="002F1012"/>
    <w:rsid w:val="004303B9"/>
    <w:rsid w:val="00504BD9"/>
    <w:rsid w:val="0054621F"/>
    <w:rsid w:val="006D5DBE"/>
    <w:rsid w:val="0076440A"/>
    <w:rsid w:val="00813681"/>
    <w:rsid w:val="00820262"/>
    <w:rsid w:val="0095657E"/>
    <w:rsid w:val="009C192F"/>
    <w:rsid w:val="00AE2277"/>
    <w:rsid w:val="00B047FE"/>
    <w:rsid w:val="00B478C6"/>
    <w:rsid w:val="00B8446F"/>
    <w:rsid w:val="00B961C3"/>
    <w:rsid w:val="00BF1669"/>
    <w:rsid w:val="00D139A3"/>
    <w:rsid w:val="00D327C4"/>
    <w:rsid w:val="00ED3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F1012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54621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54621F"/>
    <w:rPr>
      <w:rFonts w:cs="Times New Roman"/>
      <w:b/>
      <w:bCs/>
    </w:rPr>
  </w:style>
  <w:style w:type="paragraph" w:styleId="a5">
    <w:name w:val="Balloon Text"/>
    <w:basedOn w:val="a"/>
    <w:link w:val="a6"/>
    <w:semiHidden/>
    <w:rsid w:val="00764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7644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F1012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54621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54621F"/>
    <w:rPr>
      <w:rFonts w:cs="Times New Roman"/>
      <w:b/>
      <w:bCs/>
    </w:rPr>
  </w:style>
  <w:style w:type="paragraph" w:styleId="a5">
    <w:name w:val="Balloon Text"/>
    <w:basedOn w:val="a"/>
    <w:link w:val="a6"/>
    <w:semiHidden/>
    <w:rsid w:val="00764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7644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1603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проект </vt:lpstr>
    </vt:vector>
  </TitlesOfParts>
  <Company>*</Company>
  <LinksUpToDate>false</LinksUpToDate>
  <CharactersWithSpaces>10720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Носова</cp:lastModifiedBy>
  <cp:revision>2</cp:revision>
  <cp:lastPrinted>2016-11-29T11:50:00Z</cp:lastPrinted>
  <dcterms:created xsi:type="dcterms:W3CDTF">2017-02-07T07:16:00Z</dcterms:created>
  <dcterms:modified xsi:type="dcterms:W3CDTF">2017-02-07T07:16:00Z</dcterms:modified>
</cp:coreProperties>
</file>