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684" w:rsidRDefault="00D10684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684" w:rsidRDefault="00D10684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60F8" w:rsidRDefault="00DC60F8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60F8">
        <w:rPr>
          <w:rFonts w:ascii="Times New Roman" w:hAnsi="Times New Roman" w:cs="Times New Roman"/>
          <w:sz w:val="28"/>
          <w:szCs w:val="28"/>
        </w:rPr>
        <w:t>Админис</w:t>
      </w:r>
      <w:r>
        <w:rPr>
          <w:rFonts w:ascii="Times New Roman" w:hAnsi="Times New Roman" w:cs="Times New Roman"/>
          <w:sz w:val="28"/>
          <w:szCs w:val="28"/>
        </w:rPr>
        <w:t xml:space="preserve">трация Атяшевского муниципального района сообщает, что с 01.01.2020 года вступило в силу Постановление Правительства Российской Федерации от 26.11.2019 г. №514, которое определяет порядок предоставления </w:t>
      </w:r>
      <w:r w:rsidR="00D10684">
        <w:rPr>
          <w:rFonts w:ascii="Times New Roman" w:hAnsi="Times New Roman" w:cs="Times New Roman"/>
          <w:sz w:val="28"/>
          <w:szCs w:val="28"/>
        </w:rPr>
        <w:t>потребительского кредита (займа)</w:t>
      </w:r>
      <w:r>
        <w:rPr>
          <w:rFonts w:ascii="Times New Roman" w:hAnsi="Times New Roman" w:cs="Times New Roman"/>
          <w:sz w:val="28"/>
          <w:szCs w:val="28"/>
        </w:rPr>
        <w:t xml:space="preserve"> физическим лицам от уполномоченных банков на:</w:t>
      </w:r>
    </w:p>
    <w:p w:rsidR="00DC60F8" w:rsidRDefault="00DC60F8" w:rsidP="002360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приобретение и монтаж по договору подряда, заключенному с подрядной организацией, оборудования для обеспечения централизованного или автономного электроснабжения, водоснабжения (в том числе оплата услуг подрядной организации по бурению водозаборных скважин), водоотведения, отопления, а в газифицированных районах – также для обеспечения газоснабжения жилых домов (помещений), расположенных на сельских территориях. </w:t>
      </w:r>
      <w:r w:rsidR="002360B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 этом, в</w:t>
      </w:r>
      <w:r w:rsidR="008F3FBB">
        <w:rPr>
          <w:rFonts w:ascii="Times New Roman" w:hAnsi="Times New Roman" w:cs="Times New Roman"/>
          <w:sz w:val="28"/>
          <w:szCs w:val="28"/>
        </w:rPr>
        <w:t>ся территория</w:t>
      </w:r>
      <w:r>
        <w:rPr>
          <w:rFonts w:ascii="Times New Roman" w:hAnsi="Times New Roman" w:cs="Times New Roman"/>
          <w:sz w:val="28"/>
          <w:szCs w:val="28"/>
        </w:rPr>
        <w:t xml:space="preserve"> Атяшевск</w:t>
      </w:r>
      <w:r w:rsidR="008F3FB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F3FBB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F3FB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относится к сельской территории;</w:t>
      </w:r>
    </w:p>
    <w:p w:rsidR="00DC60F8" w:rsidRDefault="00DC60F8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ремонт жилых домов (помещений), расположенных на сельских территориях, по договорам подряда, заключенным с подрядными организациями.</w:t>
      </w:r>
    </w:p>
    <w:p w:rsidR="00D10684" w:rsidRDefault="00DC60F8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кредита составляет не более 250 тыс.руб. (включительно).</w:t>
      </w:r>
    </w:p>
    <w:p w:rsidR="00D10684" w:rsidRDefault="00D10684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Период субсидирования действует по день окончания действия кредитного договора (договора займа) включительно.</w:t>
      </w:r>
    </w:p>
    <w:p w:rsidR="00D10684" w:rsidRDefault="00D10684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Льготная ставка (процентная ставка) по льготному потребительскому кредиту (займу) составляет не менее 1, но не более 5 процентов годовых.</w:t>
      </w:r>
    </w:p>
    <w:p w:rsidR="008F3FBB" w:rsidRDefault="008F3FBB" w:rsidP="002360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0684" w:rsidRDefault="00D10684" w:rsidP="00D10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0684" w:rsidRDefault="00D10684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684" w:rsidRDefault="00D10684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247" w:rsidRPr="00DC60F8" w:rsidRDefault="00DC60F8" w:rsidP="00DC60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24247" w:rsidRPr="00DC60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0F8"/>
    <w:rsid w:val="002360B3"/>
    <w:rsid w:val="008F3FBB"/>
    <w:rsid w:val="00A24247"/>
    <w:rsid w:val="00D10684"/>
    <w:rsid w:val="00DC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DE87B"/>
  <w15:chartTrackingRefBased/>
  <w15:docId w15:val="{27E4ED1B-0E57-44A3-8EBD-BA1542B99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2020-02-01T10:47:00Z</dcterms:created>
  <dcterms:modified xsi:type="dcterms:W3CDTF">2020-02-01T11:08:00Z</dcterms:modified>
</cp:coreProperties>
</file>