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Готовимся к выходу на пенсию правильно</w:t>
      </w:r>
    </w:p>
    <w:p>
      <w:pPr>
        <w:pStyle w:val="5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ab/>
        <w:t>УПФР в Атяшевском муниципальном районе РМ (межрайонное)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провод</w:t>
      </w:r>
      <w:r>
        <w:rPr>
          <w:rFonts w:ascii="Times New Roman" w:hAnsi="Times New Roman"/>
          <w:b w:val="false"/>
          <w:bCs w:val="false"/>
          <w:sz w:val="24"/>
          <w:szCs w:val="24"/>
        </w:rPr>
        <w:t>и</w:t>
      </w:r>
      <w:r>
        <w:rPr>
          <w:rFonts w:ascii="Times New Roman" w:hAnsi="Times New Roman"/>
          <w:b w:val="false"/>
          <w:bCs w:val="false"/>
          <w:sz w:val="24"/>
          <w:szCs w:val="24"/>
        </w:rPr>
        <w:t>т заблаговременную работу с будущими пенсионерами для своевременного и правильного назначения пенсии по сведениям индивидуального (персонифицированного) учета.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Благодаря этой работе уточняются сведения о пенсионных правах граждан в системе обязательного пенсионного страхования для назначения пенсии в кратчайшие сроки и в максимально выгодном размере.</w:t>
      </w:r>
    </w:p>
    <w:p>
      <w:pPr>
        <w:pStyle w:val="Style12"/>
        <w:jc w:val="both"/>
        <w:rPr/>
      </w:pPr>
      <w:r>
        <w:rPr>
          <w:rFonts w:ascii="Times New Roman" w:hAnsi="Times New Roman"/>
          <w:sz w:val="24"/>
          <w:szCs w:val="24"/>
        </w:rPr>
        <w:t>Ознакомиться со сведениями, а именно – получить выписку из своего лицевого счета, можно в «</w:t>
      </w:r>
      <w:hyperlink r:id="rId2">
        <w:r>
          <w:rPr>
            <w:rStyle w:val="Style10"/>
            <w:rFonts w:ascii="Times New Roman" w:hAnsi="Times New Roman"/>
            <w:sz w:val="24"/>
            <w:szCs w:val="24"/>
          </w:rPr>
          <w:t>Личном кабинете гражданина</w:t>
        </w:r>
      </w:hyperlink>
      <w:r>
        <w:rPr>
          <w:rFonts w:ascii="Times New Roman" w:hAnsi="Times New Roman"/>
          <w:sz w:val="24"/>
          <w:szCs w:val="24"/>
        </w:rPr>
        <w:t xml:space="preserve">»  на официальном сайте ПФР или на </w:t>
      </w:r>
      <w:hyperlink r:id="rId3">
        <w:r>
          <w:rPr>
            <w:rStyle w:val="Style10"/>
            <w:rFonts w:ascii="Times New Roman" w:hAnsi="Times New Roman"/>
            <w:sz w:val="24"/>
            <w:szCs w:val="24"/>
          </w:rPr>
          <w:t>Едином портале</w:t>
        </w:r>
      </w:hyperlink>
      <w:r>
        <w:rPr>
          <w:rFonts w:ascii="Times New Roman" w:hAnsi="Times New Roman"/>
          <w:sz w:val="24"/>
          <w:szCs w:val="24"/>
        </w:rPr>
        <w:t xml:space="preserve"> государственных и муниципальных услуг.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В выписке из ИЛС отражается информация об официальных периодах трудовой деятельности, о стаже и количестве индивидуальных пенсионных коэффициентов, а также сумма пенсионных накоплений для тех, у кого они формируются.</w:t>
      </w:r>
    </w:p>
    <w:p>
      <w:pPr>
        <w:pStyle w:val="Style16"/>
        <w:ind w:left="0" w:right="56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После ознакомления с лицевым счетом, гражданину следует сообщить о согласии с этими  сведениями в территориальный орган пенсионного ведомства. Если какие-либо сведения на лицевом счете не учтены или учтены не полностью, нужно обратиться для уточнения и изменения их с подтверждающими документами в МФЦ или через работодателя - для дальнейшей передачи документов в территориальные органы ПФР. Клиентские службы ПФР также ведут прием граждан по данному вопросу.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После приема документов специалисты пенсионного ведомства оценят правильность их оформления и соответствие данным персонифицированного учета. А при необходимости самостоятельно запросят недостающие документы, направят запросы в архивы и организации, где работал гражданин, и направят ему  уведомление о результатах этой работы.</w:t>
      </w:r>
    </w:p>
    <w:p>
      <w:pPr>
        <w:pStyle w:val="Style12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>Гражданину останется лишь обратиться за назначением пенсии за месяц до наступления права на неё. Подать заявление можно в электронной форме без посещения клиентской службы ПФР через «</w:t>
      </w:r>
      <w:hyperlink r:id="rId4">
        <w:r>
          <w:rPr>
            <w:rStyle w:val="Style10"/>
            <w:rFonts w:ascii="Times New Roman" w:hAnsi="Times New Roman"/>
            <w:sz w:val="24"/>
            <w:szCs w:val="24"/>
          </w:rPr>
          <w:t>Личный кабинет</w:t>
        </w:r>
      </w:hyperlink>
      <w:r>
        <w:rPr>
          <w:rFonts w:ascii="Times New Roman" w:hAnsi="Times New Roman"/>
          <w:sz w:val="24"/>
          <w:szCs w:val="24"/>
        </w:rPr>
        <w:t xml:space="preserve">» на сайте ПФР  или на </w:t>
      </w:r>
      <w:hyperlink r:id="rId5">
        <w:r>
          <w:rPr>
            <w:rStyle w:val="Style10"/>
            <w:rFonts w:ascii="Times New Roman" w:hAnsi="Times New Roman"/>
            <w:sz w:val="24"/>
            <w:szCs w:val="24"/>
          </w:rPr>
          <w:t>портале госуслуг</w:t>
        </w:r>
      </w:hyperlink>
      <w:r>
        <w:rPr>
          <w:rFonts w:ascii="Times New Roman" w:hAnsi="Times New Roman"/>
          <w:sz w:val="24"/>
          <w:szCs w:val="24"/>
        </w:rPr>
        <w:t>, а также лично в офисах МФЦ.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hyperlink" Target="https://es.pfrf.ru/" TargetMode="External"/><Relationship Id="rId5" Type="http://schemas.openxmlformats.org/officeDocument/2006/relationships/hyperlink" Target="http://www.gosuslugi.ru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2021-06-21T09:23:06Z</dcterms:modified>
  <cp:revision>3</cp:revision>
</cp:coreProperties>
</file>