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ab/>
        <w:tab/>
        <w:t xml:space="preserve">Как направить средства материнского капитала на улучшение жилищных условий, читайте на сайте ПФР: </w:t>
      </w:r>
      <w:hyperlink r:id="rId2">
        <w:r>
          <w:rPr>
            <w:rStyle w:val="Style11"/>
          </w:rPr>
          <w:t>https://pfr.gov.ru/grazhdanam/msk/msk_housing/</w:t>
        </w:r>
      </w:hyperlink>
      <w:r>
        <w:rPr/>
        <w:t xml:space="preserve">. </w:t>
      </w:r>
    </w:p>
    <w:p>
      <w:pPr>
        <w:pStyle w:val="Style13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#семья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-224790</wp:posOffset>
            </wp:positionH>
            <wp:positionV relativeFrom="paragraph">
              <wp:posOffset>272415</wp:posOffset>
            </wp:positionV>
            <wp:extent cx="3973195" cy="397256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2641600</wp:posOffset>
            </wp:positionH>
            <wp:positionV relativeFrom="paragraph">
              <wp:posOffset>3773170</wp:posOffset>
            </wp:positionV>
            <wp:extent cx="3944620" cy="394462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msk_housing%2F&amp;post=-37475973_459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cp:lastPrinted>2021-06-21T10:34:15Z</cp:lastPrinted>
  <dcterms:modified xsi:type="dcterms:W3CDTF">2021-06-21T10:34:23Z</dcterms:modified>
  <cp:revision>2</cp:revision>
</cp:coreProperties>
</file>