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774B" w:rsidRDefault="0032774B" w:rsidP="0032774B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32774B" w:rsidRDefault="0032774B" w:rsidP="0032774B">
      <w:pPr>
        <w:pStyle w:val="5"/>
      </w:pPr>
    </w:p>
    <w:p w:rsidR="0032774B" w:rsidRDefault="0032774B" w:rsidP="0032774B">
      <w:pPr>
        <w:pStyle w:val="5"/>
      </w:pPr>
      <w:r>
        <w:t xml:space="preserve">АДМИНИСТРАЦИИ АТЯШЕВСКОГО </w:t>
      </w:r>
    </w:p>
    <w:p w:rsidR="0032774B" w:rsidRDefault="0032774B" w:rsidP="0032774B">
      <w:pPr>
        <w:pStyle w:val="5"/>
      </w:pPr>
      <w:r>
        <w:t>МУНИЦИПАЛЬНОГО РАЙОНА</w:t>
      </w:r>
    </w:p>
    <w:p w:rsidR="0032774B" w:rsidRPr="0032774B" w:rsidRDefault="0032774B" w:rsidP="0032774B">
      <w:pPr>
        <w:jc w:val="center"/>
        <w:rPr>
          <w:rFonts w:ascii="Times New Roman" w:hAnsi="Times New Roman" w:cs="Times New Roman"/>
          <w:sz w:val="36"/>
          <w:szCs w:val="36"/>
        </w:rPr>
      </w:pPr>
      <w:r w:rsidRPr="0032774B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32774B" w:rsidRDefault="0032774B" w:rsidP="0032774B">
      <w:pPr>
        <w:rPr>
          <w:sz w:val="28"/>
        </w:rPr>
      </w:pPr>
    </w:p>
    <w:p w:rsidR="0032774B" w:rsidRPr="0032774B" w:rsidRDefault="0032774B" w:rsidP="0032774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17.08.2021</w:t>
      </w:r>
      <w:r w:rsidRPr="0032774B">
        <w:rPr>
          <w:rFonts w:ascii="Times New Roman" w:hAnsi="Times New Roman" w:cs="Times New Roman"/>
          <w:sz w:val="28"/>
        </w:rPr>
        <w:t xml:space="preserve">                                                                           </w:t>
      </w:r>
      <w:r w:rsidR="003A2E5E">
        <w:rPr>
          <w:rFonts w:ascii="Times New Roman" w:hAnsi="Times New Roman" w:cs="Times New Roman"/>
          <w:sz w:val="28"/>
        </w:rPr>
        <w:t xml:space="preserve">               </w:t>
      </w:r>
      <w:r w:rsidRPr="0032774B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32774B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 423</w:t>
      </w:r>
      <w:proofErr w:type="gramEnd"/>
      <w:r w:rsidRPr="0032774B">
        <w:rPr>
          <w:rFonts w:ascii="Times New Roman" w:hAnsi="Times New Roman" w:cs="Times New Roman"/>
          <w:sz w:val="28"/>
        </w:rPr>
        <w:t xml:space="preserve">    </w:t>
      </w:r>
    </w:p>
    <w:p w:rsidR="0032774B" w:rsidRPr="0032774B" w:rsidRDefault="0032774B" w:rsidP="0032774B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32774B">
        <w:rPr>
          <w:rFonts w:ascii="Times New Roman" w:hAnsi="Times New Roman" w:cs="Times New Roman"/>
          <w:sz w:val="24"/>
        </w:rPr>
        <w:t>рп.Атяшево</w:t>
      </w:r>
      <w:proofErr w:type="spellEnd"/>
    </w:p>
    <w:p w:rsidR="001F4BE2" w:rsidRDefault="001F4BE2" w:rsidP="003A0DD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0DDB" w:rsidRPr="001F4BE2" w:rsidRDefault="003A0DDB" w:rsidP="003A0D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BE2">
        <w:rPr>
          <w:rFonts w:ascii="Times New Roman" w:hAnsi="Times New Roman" w:cs="Times New Roman"/>
          <w:b/>
          <w:sz w:val="28"/>
          <w:szCs w:val="28"/>
        </w:rPr>
        <w:t xml:space="preserve">О подготовке </w:t>
      </w:r>
      <w:bookmarkStart w:id="0" w:name="_Hlk78362435"/>
      <w:bookmarkStart w:id="1" w:name="_Hlk68596038"/>
      <w:bookmarkStart w:id="2" w:name="_Hlk68595795"/>
      <w:r w:rsidRPr="001F4BE2">
        <w:rPr>
          <w:rFonts w:ascii="Times New Roman" w:hAnsi="Times New Roman" w:cs="Times New Roman"/>
          <w:b/>
          <w:sz w:val="28"/>
          <w:szCs w:val="28"/>
        </w:rPr>
        <w:t xml:space="preserve">документации </w:t>
      </w:r>
      <w:bookmarkStart w:id="3" w:name="_Hlk78362578"/>
      <w:bookmarkStart w:id="4" w:name="_Hlk78448284"/>
      <w:r w:rsidRPr="001F4BE2">
        <w:rPr>
          <w:rFonts w:ascii="Times New Roman" w:hAnsi="Times New Roman" w:cs="Times New Roman"/>
          <w:b/>
          <w:sz w:val="28"/>
          <w:szCs w:val="28"/>
        </w:rPr>
        <w:t xml:space="preserve">по планировке территории </w:t>
      </w:r>
      <w:bookmarkEnd w:id="0"/>
      <w:bookmarkEnd w:id="1"/>
      <w:r w:rsidR="00340AD3" w:rsidRPr="001F4BE2">
        <w:rPr>
          <w:rFonts w:ascii="Times New Roman" w:hAnsi="Times New Roman" w:cs="Times New Roman"/>
          <w:b/>
          <w:sz w:val="28"/>
          <w:szCs w:val="28"/>
        </w:rPr>
        <w:t xml:space="preserve">в отношении  </w:t>
      </w:r>
      <w:r w:rsidRPr="001F4BE2">
        <w:rPr>
          <w:rFonts w:ascii="Times New Roman" w:hAnsi="Times New Roman" w:cs="Times New Roman"/>
          <w:b/>
          <w:sz w:val="28"/>
          <w:szCs w:val="28"/>
        </w:rPr>
        <w:t xml:space="preserve"> земельного участка, расположенного по адресу: </w:t>
      </w:r>
      <w:r w:rsidR="00F47F10">
        <w:rPr>
          <w:rFonts w:ascii="Times New Roman" w:hAnsi="Times New Roman" w:cs="Times New Roman"/>
          <w:b/>
          <w:sz w:val="28"/>
          <w:szCs w:val="28"/>
        </w:rPr>
        <w:t>с. Каменка</w:t>
      </w:r>
      <w:r w:rsidR="00840FF0" w:rsidRPr="001F4BE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40AD3" w:rsidRPr="001F4BE2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340AD3" w:rsidRPr="001F4BE2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</w:t>
      </w:r>
      <w:r w:rsidRPr="001F4BE2">
        <w:rPr>
          <w:rFonts w:ascii="Times New Roman" w:hAnsi="Times New Roman" w:cs="Times New Roman"/>
          <w:b/>
          <w:sz w:val="28"/>
          <w:szCs w:val="28"/>
        </w:rPr>
        <w:t xml:space="preserve">, предназначенного для размещения </w:t>
      </w:r>
      <w:r w:rsidR="00340AD3" w:rsidRPr="001F4BE2">
        <w:rPr>
          <w:rFonts w:ascii="Times New Roman" w:hAnsi="Times New Roman" w:cs="Times New Roman"/>
          <w:b/>
          <w:sz w:val="28"/>
          <w:szCs w:val="28"/>
        </w:rPr>
        <w:t xml:space="preserve">линейного </w:t>
      </w:r>
      <w:r w:rsidRPr="001F4BE2">
        <w:rPr>
          <w:rFonts w:ascii="Times New Roman" w:hAnsi="Times New Roman" w:cs="Times New Roman"/>
          <w:b/>
          <w:sz w:val="28"/>
          <w:szCs w:val="28"/>
        </w:rPr>
        <w:t xml:space="preserve">объекта </w:t>
      </w:r>
      <w:bookmarkEnd w:id="3"/>
      <w:bookmarkEnd w:id="4"/>
      <w:r w:rsidR="00340AD3" w:rsidRPr="001F4BE2">
        <w:rPr>
          <w:rFonts w:ascii="Times New Roman" w:hAnsi="Times New Roman" w:cs="Times New Roman"/>
          <w:b/>
          <w:sz w:val="28"/>
          <w:szCs w:val="28"/>
        </w:rPr>
        <w:t>«Буксировочная канатная дорога»</w:t>
      </w:r>
    </w:p>
    <w:bookmarkEnd w:id="2"/>
    <w:p w:rsidR="003A0DDB" w:rsidRPr="001F4BE2" w:rsidRDefault="003A0DDB" w:rsidP="003A0D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0DDB" w:rsidRPr="001F4BE2" w:rsidRDefault="003A0DDB" w:rsidP="003A0D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E2">
        <w:rPr>
          <w:rFonts w:ascii="Times New Roman" w:hAnsi="Times New Roman" w:cs="Times New Roman"/>
          <w:sz w:val="28"/>
          <w:szCs w:val="28"/>
        </w:rPr>
        <w:tab/>
        <w:t xml:space="preserve">Принимая во внимание обращение </w:t>
      </w:r>
      <w:r w:rsidR="00340AD3" w:rsidRPr="001F4BE2">
        <w:rPr>
          <w:rFonts w:ascii="Times New Roman" w:hAnsi="Times New Roman" w:cs="Times New Roman"/>
          <w:sz w:val="28"/>
          <w:szCs w:val="28"/>
        </w:rPr>
        <w:t xml:space="preserve">Благотворительного фонда поддержки социального развития </w:t>
      </w:r>
      <w:proofErr w:type="spellStart"/>
      <w:r w:rsidR="00340AD3" w:rsidRPr="001F4BE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40AD3" w:rsidRPr="001F4BE2">
        <w:rPr>
          <w:rFonts w:ascii="Times New Roman" w:hAnsi="Times New Roman" w:cs="Times New Roman"/>
          <w:sz w:val="28"/>
          <w:szCs w:val="28"/>
        </w:rPr>
        <w:t xml:space="preserve"> района РМ»</w:t>
      </w:r>
      <w:r w:rsidR="007D0A2D" w:rsidRPr="001F4BE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D0A2D" w:rsidRPr="001F4BE2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D0A2D" w:rsidRPr="001F4BE2">
        <w:rPr>
          <w:rFonts w:ascii="Times New Roman" w:hAnsi="Times New Roman" w:cs="Times New Roman"/>
          <w:sz w:val="28"/>
          <w:szCs w:val="28"/>
        </w:rPr>
        <w:t xml:space="preserve">. № 3352-01-52 от 12 августа </w:t>
      </w:r>
      <w:proofErr w:type="spellStart"/>
      <w:r w:rsidR="00816FAA" w:rsidRPr="001F4BE2">
        <w:rPr>
          <w:rFonts w:ascii="Times New Roman" w:hAnsi="Times New Roman" w:cs="Times New Roman"/>
          <w:sz w:val="28"/>
          <w:szCs w:val="28"/>
        </w:rPr>
        <w:t>августа</w:t>
      </w:r>
      <w:proofErr w:type="spellEnd"/>
      <w:r w:rsidRPr="001F4BE2">
        <w:rPr>
          <w:rFonts w:ascii="Times New Roman" w:hAnsi="Times New Roman" w:cs="Times New Roman"/>
          <w:sz w:val="28"/>
          <w:szCs w:val="28"/>
        </w:rPr>
        <w:t xml:space="preserve"> 2021 года), в соответствии со статьями 42, 43, 45, 46 Градостроительного кодекса Российской Федерации, постановлением Правительства Российской Федерации от 12 мая                  2017 года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объектов»,</w:t>
      </w:r>
      <w:r w:rsidR="00816FAA" w:rsidRPr="001F4BE2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194D2E" w:rsidRPr="001F4BE2" w:rsidRDefault="003A0DDB" w:rsidP="003A0D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BE2">
        <w:rPr>
          <w:rFonts w:ascii="Times New Roman" w:hAnsi="Times New Roman" w:cs="Times New Roman"/>
          <w:sz w:val="28"/>
          <w:szCs w:val="28"/>
        </w:rPr>
        <w:tab/>
        <w:t xml:space="preserve">1. Разрешить </w:t>
      </w:r>
      <w:r w:rsidR="00816FAA" w:rsidRPr="001F4BE2">
        <w:rPr>
          <w:rFonts w:ascii="Times New Roman" w:hAnsi="Times New Roman" w:cs="Times New Roman"/>
          <w:sz w:val="28"/>
          <w:szCs w:val="28"/>
        </w:rPr>
        <w:t xml:space="preserve">Благотворительному фонду поддержки социального развития </w:t>
      </w:r>
      <w:proofErr w:type="spellStart"/>
      <w:r w:rsidR="00816FAA" w:rsidRPr="001F4BE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16FAA" w:rsidRPr="001F4BE2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1F4BE2">
        <w:rPr>
          <w:rFonts w:ascii="Times New Roman" w:hAnsi="Times New Roman" w:cs="Times New Roman"/>
          <w:sz w:val="28"/>
          <w:szCs w:val="28"/>
        </w:rPr>
        <w:t xml:space="preserve"> подготовку </w:t>
      </w:r>
      <w:bookmarkStart w:id="5" w:name="_Hlk65144181"/>
      <w:r w:rsidRPr="001F4BE2">
        <w:rPr>
          <w:rFonts w:ascii="Times New Roman" w:hAnsi="Times New Roman" w:cs="Times New Roman"/>
          <w:bCs/>
          <w:sz w:val="28"/>
          <w:szCs w:val="28"/>
        </w:rPr>
        <w:t xml:space="preserve">документации </w:t>
      </w:r>
      <w:r w:rsidR="00194D2E" w:rsidRPr="001F4BE2">
        <w:rPr>
          <w:rFonts w:ascii="Times New Roman" w:hAnsi="Times New Roman" w:cs="Times New Roman"/>
          <w:bCs/>
          <w:sz w:val="28"/>
          <w:szCs w:val="28"/>
        </w:rPr>
        <w:t>по</w:t>
      </w:r>
      <w:r w:rsidR="00194D2E" w:rsidRPr="001F4B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D2E" w:rsidRPr="001F4BE2">
        <w:rPr>
          <w:rFonts w:ascii="Times New Roman" w:hAnsi="Times New Roman" w:cs="Times New Roman"/>
          <w:sz w:val="28"/>
          <w:szCs w:val="28"/>
        </w:rPr>
        <w:t>планировке территории в отношении   земельного участка, распо</w:t>
      </w:r>
      <w:r w:rsidR="00F47F10">
        <w:rPr>
          <w:rFonts w:ascii="Times New Roman" w:hAnsi="Times New Roman" w:cs="Times New Roman"/>
          <w:sz w:val="28"/>
          <w:szCs w:val="28"/>
        </w:rPr>
        <w:t xml:space="preserve">ложенного по адресу: с. Каменка, </w:t>
      </w:r>
      <w:proofErr w:type="spellStart"/>
      <w:r w:rsidR="00194D2E" w:rsidRPr="001F4BE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194D2E" w:rsidRPr="001F4BE2">
        <w:rPr>
          <w:rFonts w:ascii="Times New Roman" w:hAnsi="Times New Roman" w:cs="Times New Roman"/>
          <w:sz w:val="28"/>
          <w:szCs w:val="28"/>
        </w:rPr>
        <w:t xml:space="preserve"> района Республики Мордовия, предназначенного для размещения линейного объекта «Буксировочная канатная дорога»</w:t>
      </w:r>
      <w:bookmarkEnd w:id="5"/>
      <w:r w:rsidR="00194D2E" w:rsidRPr="001F4BE2">
        <w:rPr>
          <w:rFonts w:ascii="Times New Roman" w:hAnsi="Times New Roman" w:cs="Times New Roman"/>
          <w:sz w:val="28"/>
          <w:szCs w:val="28"/>
        </w:rPr>
        <w:t>.</w:t>
      </w:r>
    </w:p>
    <w:p w:rsidR="003A0DDB" w:rsidRPr="001F4BE2" w:rsidRDefault="003A0DDB" w:rsidP="003A0D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E2">
        <w:rPr>
          <w:rFonts w:ascii="Times New Roman" w:hAnsi="Times New Roman" w:cs="Times New Roman"/>
          <w:sz w:val="28"/>
          <w:szCs w:val="28"/>
        </w:rPr>
        <w:tab/>
        <w:t>2. Утвердить задание на подготовк</w:t>
      </w:r>
      <w:r w:rsidR="00840FF0" w:rsidRPr="001F4BE2">
        <w:rPr>
          <w:rFonts w:ascii="Times New Roman" w:hAnsi="Times New Roman" w:cs="Times New Roman"/>
          <w:sz w:val="28"/>
          <w:szCs w:val="28"/>
        </w:rPr>
        <w:t>е</w:t>
      </w:r>
      <w:r w:rsidRPr="001F4BE2">
        <w:rPr>
          <w:rFonts w:ascii="Times New Roman" w:hAnsi="Times New Roman" w:cs="Times New Roman"/>
          <w:sz w:val="28"/>
          <w:szCs w:val="28"/>
        </w:rPr>
        <w:t xml:space="preserve"> докум</w:t>
      </w:r>
      <w:r w:rsidR="00840FF0" w:rsidRPr="001F4BE2">
        <w:rPr>
          <w:rFonts w:ascii="Times New Roman" w:hAnsi="Times New Roman" w:cs="Times New Roman"/>
          <w:sz w:val="28"/>
          <w:szCs w:val="28"/>
        </w:rPr>
        <w:t>ентации</w:t>
      </w:r>
      <w:r w:rsidRPr="001F4BE2">
        <w:rPr>
          <w:rFonts w:ascii="Times New Roman" w:hAnsi="Times New Roman" w:cs="Times New Roman"/>
          <w:sz w:val="28"/>
          <w:szCs w:val="28"/>
        </w:rPr>
        <w:t xml:space="preserve"> по планировке территории</w:t>
      </w:r>
      <w:r w:rsidR="00840FF0" w:rsidRPr="001F4BE2">
        <w:rPr>
          <w:rFonts w:ascii="Times New Roman" w:hAnsi="Times New Roman" w:cs="Times New Roman"/>
          <w:sz w:val="28"/>
          <w:szCs w:val="28"/>
        </w:rPr>
        <w:t xml:space="preserve">   Благотворительному фонду поддержки социального развития </w:t>
      </w:r>
      <w:proofErr w:type="spellStart"/>
      <w:r w:rsidR="00840FF0" w:rsidRPr="001F4BE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40FF0" w:rsidRPr="001F4BE2">
        <w:rPr>
          <w:rFonts w:ascii="Times New Roman" w:hAnsi="Times New Roman" w:cs="Times New Roman"/>
          <w:sz w:val="28"/>
          <w:szCs w:val="28"/>
        </w:rPr>
        <w:t xml:space="preserve"> района РМ подготовку </w:t>
      </w:r>
      <w:r w:rsidR="00840FF0" w:rsidRPr="001F4BE2">
        <w:rPr>
          <w:rFonts w:ascii="Times New Roman" w:hAnsi="Times New Roman" w:cs="Times New Roman"/>
          <w:bCs/>
          <w:sz w:val="28"/>
          <w:szCs w:val="28"/>
        </w:rPr>
        <w:t>документации по</w:t>
      </w:r>
      <w:r w:rsidR="00840FF0" w:rsidRPr="001F4B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FF0" w:rsidRPr="001F4BE2">
        <w:rPr>
          <w:rFonts w:ascii="Times New Roman" w:hAnsi="Times New Roman" w:cs="Times New Roman"/>
          <w:sz w:val="28"/>
          <w:szCs w:val="28"/>
        </w:rPr>
        <w:t>планировке территории в отношении   земельного участка, распо</w:t>
      </w:r>
      <w:r w:rsidR="00F47F10">
        <w:rPr>
          <w:rFonts w:ascii="Times New Roman" w:hAnsi="Times New Roman" w:cs="Times New Roman"/>
          <w:sz w:val="28"/>
          <w:szCs w:val="28"/>
        </w:rPr>
        <w:t>ложенного по адресу: с. Каменка</w:t>
      </w:r>
      <w:r w:rsidR="007D0A2D" w:rsidRPr="001F4B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F1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47F10">
        <w:rPr>
          <w:rFonts w:ascii="Times New Roman" w:hAnsi="Times New Roman" w:cs="Times New Roman"/>
          <w:sz w:val="28"/>
          <w:szCs w:val="28"/>
        </w:rPr>
        <w:t xml:space="preserve"> района Республики </w:t>
      </w:r>
      <w:r w:rsidR="00840FF0" w:rsidRPr="001F4BE2">
        <w:rPr>
          <w:rFonts w:ascii="Times New Roman" w:hAnsi="Times New Roman" w:cs="Times New Roman"/>
          <w:sz w:val="28"/>
          <w:szCs w:val="28"/>
        </w:rPr>
        <w:t>Мордовия, предназначенного для размещения линейного объекта «Буксировочная канатная дорога</w:t>
      </w:r>
      <w:r w:rsidR="003672D4" w:rsidRPr="001F4BE2">
        <w:rPr>
          <w:rFonts w:ascii="Times New Roman" w:hAnsi="Times New Roman" w:cs="Times New Roman"/>
          <w:sz w:val="28"/>
          <w:szCs w:val="28"/>
        </w:rPr>
        <w:t>»</w:t>
      </w:r>
      <w:r w:rsidR="00840FF0" w:rsidRPr="001F4BE2">
        <w:rPr>
          <w:rFonts w:ascii="Times New Roman" w:hAnsi="Times New Roman" w:cs="Times New Roman"/>
          <w:sz w:val="28"/>
          <w:szCs w:val="28"/>
        </w:rPr>
        <w:t xml:space="preserve"> </w:t>
      </w:r>
      <w:r w:rsidRPr="001F4BE2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постановлению.</w:t>
      </w:r>
    </w:p>
    <w:p w:rsidR="001F4BE2" w:rsidRDefault="003A0DDB" w:rsidP="00840F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E2"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840FF0" w:rsidRPr="001F4BE2">
        <w:rPr>
          <w:rFonts w:ascii="Times New Roman" w:hAnsi="Times New Roman" w:cs="Times New Roman"/>
          <w:sz w:val="28"/>
          <w:szCs w:val="28"/>
        </w:rPr>
        <w:t xml:space="preserve">Благотворительному фонду поддержки социального развития </w:t>
      </w:r>
      <w:proofErr w:type="spellStart"/>
      <w:r w:rsidR="00840FF0" w:rsidRPr="001F4BE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40FF0" w:rsidRPr="001F4BE2">
        <w:rPr>
          <w:rFonts w:ascii="Times New Roman" w:hAnsi="Times New Roman" w:cs="Times New Roman"/>
          <w:sz w:val="28"/>
          <w:szCs w:val="28"/>
        </w:rPr>
        <w:t xml:space="preserve"> района РМ </w:t>
      </w:r>
      <w:r w:rsidRPr="001F4BE2">
        <w:rPr>
          <w:rFonts w:ascii="Times New Roman" w:hAnsi="Times New Roman" w:cs="Times New Roman"/>
          <w:sz w:val="28"/>
          <w:szCs w:val="28"/>
        </w:rPr>
        <w:t xml:space="preserve">согласовать разработанную документацию в </w:t>
      </w:r>
      <w:r w:rsidR="003568A6">
        <w:rPr>
          <w:rFonts w:ascii="Times New Roman" w:hAnsi="Times New Roman" w:cs="Times New Roman"/>
          <w:sz w:val="28"/>
          <w:szCs w:val="28"/>
        </w:rPr>
        <w:lastRenderedPageBreak/>
        <w:t xml:space="preserve">управлении строительства, </w:t>
      </w:r>
      <w:r w:rsidR="00840FF0" w:rsidRPr="001F4BE2">
        <w:rPr>
          <w:rFonts w:ascii="Times New Roman" w:hAnsi="Times New Roman" w:cs="Times New Roman"/>
          <w:sz w:val="28"/>
          <w:szCs w:val="28"/>
        </w:rPr>
        <w:t xml:space="preserve">архитектуры и жилищно-коммунального хозяйства Администрации </w:t>
      </w:r>
      <w:proofErr w:type="spellStart"/>
      <w:r w:rsidR="00840FF0" w:rsidRPr="001F4BE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40FF0" w:rsidRPr="001F4BE2">
        <w:rPr>
          <w:rFonts w:ascii="Times New Roman" w:hAnsi="Times New Roman" w:cs="Times New Roman"/>
          <w:sz w:val="28"/>
          <w:szCs w:val="28"/>
        </w:rPr>
        <w:t xml:space="preserve"> </w:t>
      </w:r>
      <w:r w:rsidRPr="001F4BE2">
        <w:rPr>
          <w:rFonts w:ascii="Times New Roman" w:hAnsi="Times New Roman" w:cs="Times New Roman"/>
          <w:sz w:val="28"/>
          <w:szCs w:val="28"/>
        </w:rPr>
        <w:t xml:space="preserve"> </w:t>
      </w:r>
      <w:r w:rsidR="00F47F10">
        <w:rPr>
          <w:rFonts w:ascii="Times New Roman" w:hAnsi="Times New Roman" w:cs="Times New Roman"/>
          <w:sz w:val="28"/>
          <w:szCs w:val="28"/>
        </w:rPr>
        <w:t xml:space="preserve"> </w:t>
      </w:r>
      <w:r w:rsidR="00840FF0" w:rsidRPr="001F4BE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F4BE2">
        <w:rPr>
          <w:rFonts w:ascii="Times New Roman" w:hAnsi="Times New Roman" w:cs="Times New Roman"/>
          <w:sz w:val="28"/>
          <w:szCs w:val="28"/>
        </w:rPr>
        <w:t>до момента вынесения п</w:t>
      </w:r>
      <w:r w:rsidR="00840FF0" w:rsidRPr="001F4BE2">
        <w:rPr>
          <w:rFonts w:ascii="Times New Roman" w:hAnsi="Times New Roman" w:cs="Times New Roman"/>
          <w:sz w:val="28"/>
          <w:szCs w:val="28"/>
        </w:rPr>
        <w:t>роекта на публичные слушания.</w:t>
      </w:r>
      <w:r w:rsidR="00840FF0" w:rsidRPr="001F4BE2">
        <w:rPr>
          <w:rFonts w:ascii="Times New Roman" w:hAnsi="Times New Roman" w:cs="Times New Roman"/>
          <w:sz w:val="28"/>
          <w:szCs w:val="28"/>
        </w:rPr>
        <w:tab/>
      </w:r>
    </w:p>
    <w:p w:rsidR="003A0DDB" w:rsidRPr="001F4BE2" w:rsidRDefault="001F4BE2" w:rsidP="00840F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0DDB" w:rsidRPr="001F4BE2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</w:t>
      </w:r>
      <w:r w:rsidR="00F47F10">
        <w:rPr>
          <w:rFonts w:ascii="Times New Roman" w:hAnsi="Times New Roman" w:cs="Times New Roman"/>
          <w:sz w:val="28"/>
          <w:szCs w:val="28"/>
        </w:rPr>
        <w:t>п</w:t>
      </w:r>
      <w:r w:rsidR="003A0DDB" w:rsidRPr="001F4BE2">
        <w:rPr>
          <w:rFonts w:ascii="Times New Roman" w:hAnsi="Times New Roman" w:cs="Times New Roman"/>
          <w:sz w:val="28"/>
          <w:szCs w:val="28"/>
        </w:rPr>
        <w:t xml:space="preserve">остановления возложить на Заместителя Главы </w:t>
      </w:r>
      <w:r w:rsidR="00840FF0" w:rsidRPr="001F4BE2">
        <w:rPr>
          <w:rFonts w:ascii="Times New Roman" w:hAnsi="Times New Roman" w:cs="Times New Roman"/>
          <w:sz w:val="28"/>
          <w:szCs w:val="28"/>
        </w:rPr>
        <w:t>района по комплексному развитию Комарова Е.В.</w:t>
      </w:r>
    </w:p>
    <w:p w:rsidR="003A0DDB" w:rsidRPr="001F4BE2" w:rsidRDefault="003A0DDB" w:rsidP="003A0D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4BE2"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</w:t>
      </w:r>
      <w:r w:rsidR="00840FF0" w:rsidRPr="001F4BE2">
        <w:rPr>
          <w:rFonts w:ascii="Times New Roman" w:hAnsi="Times New Roman" w:cs="Times New Roman"/>
          <w:sz w:val="28"/>
          <w:szCs w:val="28"/>
        </w:rPr>
        <w:t>после</w:t>
      </w:r>
      <w:r w:rsidRPr="001F4BE2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3A0DDB" w:rsidRDefault="003A0DDB" w:rsidP="003A0D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Pr="001F4BE2" w:rsidRDefault="001F4BE2" w:rsidP="003A0D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0DDB" w:rsidRPr="001F4BE2" w:rsidRDefault="003A0DDB" w:rsidP="003A0DDB">
      <w:pPr>
        <w:jc w:val="both"/>
        <w:rPr>
          <w:rFonts w:ascii="Times New Roman" w:hAnsi="Times New Roman" w:cs="Times New Roman"/>
          <w:sz w:val="28"/>
          <w:szCs w:val="28"/>
        </w:rPr>
      </w:pPr>
      <w:r w:rsidRPr="001F4BE2">
        <w:rPr>
          <w:rFonts w:ascii="Times New Roman" w:hAnsi="Times New Roman" w:cs="Times New Roman"/>
          <w:sz w:val="28"/>
          <w:szCs w:val="28"/>
        </w:rPr>
        <w:t>Глав</w:t>
      </w:r>
      <w:r w:rsidR="00632F86" w:rsidRPr="001F4B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632F86" w:rsidRPr="001F4BE2">
        <w:rPr>
          <w:rFonts w:ascii="Times New Roman" w:hAnsi="Times New Roman" w:cs="Times New Roman"/>
          <w:sz w:val="28"/>
          <w:szCs w:val="28"/>
        </w:rPr>
        <w:t>Ат</w:t>
      </w:r>
      <w:r w:rsidR="00840FF0" w:rsidRPr="001F4BE2">
        <w:rPr>
          <w:rFonts w:ascii="Times New Roman" w:hAnsi="Times New Roman" w:cs="Times New Roman"/>
          <w:sz w:val="28"/>
          <w:szCs w:val="28"/>
        </w:rPr>
        <w:t>яшевского</w:t>
      </w:r>
      <w:proofErr w:type="spellEnd"/>
      <w:r w:rsidR="00840FF0" w:rsidRPr="001F4BE2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В.Г. Прокин</w:t>
      </w:r>
    </w:p>
    <w:p w:rsidR="003A0DDB" w:rsidRPr="00236099" w:rsidRDefault="003A0DDB" w:rsidP="003A0D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6099">
        <w:rPr>
          <w:rFonts w:ascii="Times New Roman" w:hAnsi="Times New Roman" w:cs="Times New Roman"/>
          <w:sz w:val="28"/>
          <w:szCs w:val="28"/>
        </w:rPr>
        <w:tab/>
      </w:r>
      <w:r w:rsidRPr="00236099">
        <w:rPr>
          <w:rFonts w:ascii="Times New Roman" w:hAnsi="Times New Roman" w:cs="Times New Roman"/>
          <w:sz w:val="28"/>
          <w:szCs w:val="28"/>
        </w:rPr>
        <w:tab/>
      </w:r>
      <w:r w:rsidRPr="00236099">
        <w:rPr>
          <w:rFonts w:ascii="Times New Roman" w:hAnsi="Times New Roman" w:cs="Times New Roman"/>
          <w:sz w:val="28"/>
          <w:szCs w:val="28"/>
        </w:rPr>
        <w:tab/>
      </w:r>
      <w:r w:rsidRPr="00236099">
        <w:rPr>
          <w:rFonts w:ascii="Times New Roman" w:hAnsi="Times New Roman" w:cs="Times New Roman"/>
          <w:sz w:val="28"/>
          <w:szCs w:val="28"/>
        </w:rPr>
        <w:tab/>
      </w:r>
      <w:r w:rsidRPr="00236099">
        <w:rPr>
          <w:rFonts w:ascii="Times New Roman" w:hAnsi="Times New Roman" w:cs="Times New Roman"/>
          <w:sz w:val="28"/>
          <w:szCs w:val="28"/>
        </w:rPr>
        <w:tab/>
      </w:r>
      <w:r w:rsidRPr="00236099">
        <w:rPr>
          <w:rFonts w:ascii="Times New Roman" w:hAnsi="Times New Roman" w:cs="Times New Roman"/>
          <w:sz w:val="28"/>
          <w:szCs w:val="28"/>
        </w:rPr>
        <w:tab/>
      </w:r>
      <w:r w:rsidRPr="00236099">
        <w:rPr>
          <w:rFonts w:ascii="Times New Roman" w:hAnsi="Times New Roman" w:cs="Times New Roman"/>
          <w:sz w:val="28"/>
          <w:szCs w:val="28"/>
        </w:rPr>
        <w:tab/>
      </w:r>
    </w:p>
    <w:p w:rsidR="001F4BE2" w:rsidRDefault="007D0A2D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BE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E5E" w:rsidRDefault="003A2E5E" w:rsidP="003A0D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0DDB" w:rsidRPr="005B6FB2" w:rsidRDefault="001F4BE2" w:rsidP="003A0D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GoBack"/>
      <w:bookmarkEnd w:id="6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7D0A2D">
        <w:rPr>
          <w:rFonts w:ascii="Times New Roman" w:hAnsi="Times New Roman" w:cs="Times New Roman"/>
          <w:sz w:val="28"/>
          <w:szCs w:val="28"/>
        </w:rPr>
        <w:t xml:space="preserve">  </w:t>
      </w:r>
      <w:r w:rsidR="003A0DDB" w:rsidRPr="005B6FB2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3A0DDB" w:rsidRPr="005B6FB2" w:rsidRDefault="003A0DDB" w:rsidP="003A0DDB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5B6FB2">
        <w:rPr>
          <w:rFonts w:ascii="Times New Roman" w:hAnsi="Times New Roman" w:cs="Times New Roman"/>
          <w:sz w:val="24"/>
          <w:szCs w:val="24"/>
        </w:rPr>
        <w:tab/>
        <w:t>к постановлению Администрации</w:t>
      </w:r>
    </w:p>
    <w:p w:rsidR="003672D4" w:rsidRDefault="003A0DDB" w:rsidP="003A0DDB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5B6FB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672D4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3672D4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3A0DDB" w:rsidRPr="005B6FB2" w:rsidRDefault="003672D4" w:rsidP="003A0DDB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района Республики Мордовия</w:t>
      </w:r>
      <w:r w:rsidR="003A0DDB" w:rsidRPr="005B6F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0DDB" w:rsidRPr="005B6FB2" w:rsidRDefault="003A0DDB" w:rsidP="003A0DDB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5B6FB2">
        <w:rPr>
          <w:rFonts w:ascii="Times New Roman" w:hAnsi="Times New Roman" w:cs="Times New Roman"/>
          <w:sz w:val="24"/>
          <w:szCs w:val="24"/>
        </w:rPr>
        <w:tab/>
        <w:t>от «</w:t>
      </w:r>
      <w:proofErr w:type="gramStart"/>
      <w:r w:rsidR="003A2E5E">
        <w:rPr>
          <w:rFonts w:ascii="Times New Roman" w:hAnsi="Times New Roman" w:cs="Times New Roman"/>
          <w:sz w:val="24"/>
          <w:szCs w:val="24"/>
        </w:rPr>
        <w:t>17</w:t>
      </w:r>
      <w:r w:rsidRPr="005B6FB2">
        <w:rPr>
          <w:rFonts w:ascii="Times New Roman" w:hAnsi="Times New Roman" w:cs="Times New Roman"/>
          <w:sz w:val="24"/>
          <w:szCs w:val="24"/>
        </w:rPr>
        <w:t xml:space="preserve">» </w:t>
      </w:r>
      <w:r w:rsidR="003A2E5E">
        <w:rPr>
          <w:rFonts w:ascii="Times New Roman" w:hAnsi="Times New Roman" w:cs="Times New Roman"/>
          <w:sz w:val="24"/>
          <w:szCs w:val="24"/>
        </w:rPr>
        <w:t xml:space="preserve"> августа</w:t>
      </w:r>
      <w:proofErr w:type="gramEnd"/>
      <w:r w:rsidRPr="005B6FB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5B6FB2">
        <w:rPr>
          <w:rFonts w:ascii="Times New Roman" w:hAnsi="Times New Roman" w:cs="Times New Roman"/>
          <w:sz w:val="24"/>
          <w:szCs w:val="24"/>
        </w:rPr>
        <w:t xml:space="preserve"> г. №</w:t>
      </w:r>
      <w:r w:rsidR="003A2E5E">
        <w:rPr>
          <w:rFonts w:ascii="Times New Roman" w:hAnsi="Times New Roman" w:cs="Times New Roman"/>
          <w:sz w:val="24"/>
          <w:szCs w:val="24"/>
        </w:rPr>
        <w:t xml:space="preserve"> 423</w:t>
      </w:r>
    </w:p>
    <w:p w:rsidR="003A0DDB" w:rsidRPr="005B6FB2" w:rsidRDefault="003A0DDB" w:rsidP="003A0DDB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3A0DDB" w:rsidRPr="005B6FB2" w:rsidRDefault="003A0DDB" w:rsidP="003A0DD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FB2">
        <w:rPr>
          <w:rFonts w:ascii="Times New Roman" w:hAnsi="Times New Roman" w:cs="Times New Roman"/>
          <w:b/>
          <w:sz w:val="24"/>
          <w:szCs w:val="24"/>
        </w:rPr>
        <w:t>ЗАДАНИЕ НА ПОДГОТОВКУ ДОКУМЕН</w:t>
      </w:r>
      <w:r>
        <w:rPr>
          <w:rFonts w:ascii="Times New Roman" w:hAnsi="Times New Roman" w:cs="Times New Roman"/>
          <w:b/>
          <w:sz w:val="24"/>
          <w:szCs w:val="24"/>
        </w:rPr>
        <w:t>ТАЦИИ ПО ПЛАНИРОВКЕ ТЕРРИТОРИИ</w:t>
      </w:r>
      <w:r w:rsidR="00367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6F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969"/>
        <w:gridCol w:w="5528"/>
      </w:tblGrid>
      <w:tr w:rsidR="003A0DDB" w:rsidRPr="005B6FB2" w:rsidTr="00C129D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5B6FB2" w:rsidRDefault="003A0DDB" w:rsidP="00C129D8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FB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5B6FB2" w:rsidRDefault="003A0DDB" w:rsidP="00C129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FB2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основных указаний и требований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5B6FB2" w:rsidRDefault="003A0DDB" w:rsidP="00C129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FB2">
              <w:rPr>
                <w:rFonts w:ascii="Times New Roman" w:hAnsi="Times New Roman" w:cs="Times New Roman"/>
                <w:b/>
                <w:sz w:val="24"/>
                <w:szCs w:val="24"/>
              </w:rPr>
              <w:t>Изложение указаний</w:t>
            </w:r>
          </w:p>
        </w:tc>
      </w:tr>
      <w:tr w:rsidR="003A0DDB" w:rsidRPr="005B6FB2" w:rsidTr="00C129D8">
        <w:trPr>
          <w:trHeight w:val="15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5B6FB2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6F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Вид документации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B55A45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Документация по </w:t>
            </w:r>
            <w:r w:rsidR="00B55A45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подготовке </w:t>
            </w:r>
            <w:r w:rsidR="00B55A45" w:rsidRPr="007D0A2D">
              <w:rPr>
                <w:rFonts w:ascii="Times New Roman" w:hAnsi="Times New Roman" w:cs="Times New Roman"/>
                <w:bCs/>
                <w:sz w:val="26"/>
                <w:szCs w:val="26"/>
              </w:rPr>
              <w:t>документации по</w:t>
            </w:r>
            <w:r w:rsidR="00B55A45" w:rsidRPr="007D0A2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B55A45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планировке территории в отношении   земельного участка, расположенного по адресу: с. </w:t>
            </w:r>
            <w:proofErr w:type="gramStart"/>
            <w:r w:rsidR="00B55A45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Каменка </w:t>
            </w:r>
            <w:r w:rsidR="007D0A2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proofErr w:type="spellStart"/>
            <w:r w:rsidR="00B55A45" w:rsidRPr="007D0A2D">
              <w:rPr>
                <w:rFonts w:ascii="Times New Roman" w:hAnsi="Times New Roman" w:cs="Times New Roman"/>
                <w:sz w:val="26"/>
                <w:szCs w:val="26"/>
              </w:rPr>
              <w:t>Атяшевского</w:t>
            </w:r>
            <w:proofErr w:type="spellEnd"/>
            <w:proofErr w:type="gramEnd"/>
            <w:r w:rsidR="00B55A45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района Республики Мордовия, предназначенного для размещения линейного объекта «Буксировочная канатная дорога</w:t>
            </w:r>
            <w:r w:rsidR="00B55A45" w:rsidRPr="007D0A2D">
              <w:rPr>
                <w:rFonts w:ascii="Times New Roman" w:hAnsi="Times New Roman" w:cs="Times New Roman"/>
                <w:b/>
                <w:sz w:val="26"/>
                <w:szCs w:val="26"/>
              </w:rPr>
              <w:t>».</w:t>
            </w:r>
          </w:p>
        </w:tc>
      </w:tr>
      <w:tr w:rsidR="003A0DDB" w:rsidRPr="005B6FB2" w:rsidTr="00C129D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5B6FB2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6F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Заказчик документации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6E730C" w:rsidP="006E730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Благотворительный фонд поддержки социального развития </w:t>
            </w:r>
            <w:proofErr w:type="spell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Атяшевского</w:t>
            </w:r>
            <w:proofErr w:type="spellEnd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района РМ</w:t>
            </w:r>
          </w:p>
        </w:tc>
      </w:tr>
      <w:tr w:rsidR="003A0DDB" w:rsidRPr="005B6FB2" w:rsidTr="00C129D8">
        <w:trPr>
          <w:trHeight w:val="26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5B6FB2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6F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Основание для разработки документации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6E730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Обращение</w:t>
            </w:r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благотворительного фонда поддержки социального развития </w:t>
            </w:r>
            <w:proofErr w:type="spellStart"/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>Атяшевского</w:t>
            </w:r>
            <w:proofErr w:type="spellEnd"/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района РМ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от 15 июля 2021 года № 23-486 (</w:t>
            </w:r>
            <w:proofErr w:type="spell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вх</w:t>
            </w:r>
            <w:proofErr w:type="spellEnd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. № 716/5-57 от 16 июля 2021 года), постановление Правительства Российской Федерации от 12 мая 2017 года № 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</w:t>
            </w:r>
          </w:p>
        </w:tc>
      </w:tr>
      <w:tr w:rsidR="003A0DDB" w:rsidRPr="005B6FB2" w:rsidTr="00C129D8">
        <w:trPr>
          <w:trHeight w:val="120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5B6FB2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6F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Объект градостроительного планирования или застройки территории, его основные характеристики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6E730C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Территория земельного участка, расположенного по адресу: </w:t>
            </w:r>
          </w:p>
          <w:p w:rsidR="006E730C" w:rsidRPr="007D0A2D" w:rsidRDefault="006E730C" w:rsidP="006E730C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с. </w:t>
            </w:r>
            <w:proofErr w:type="gram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Каменка </w:t>
            </w:r>
            <w:r w:rsidR="007D0A2D" w:rsidRPr="007D0A2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proofErr w:type="spell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Атяшевского</w:t>
            </w:r>
            <w:proofErr w:type="spellEnd"/>
            <w:proofErr w:type="gramEnd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района Республики Мордовия, предназначенного для размещения линейного объекта «Буксировочная канатная дорога».</w:t>
            </w:r>
          </w:p>
          <w:p w:rsidR="006E730C" w:rsidRPr="007D0A2D" w:rsidRDefault="006E730C" w:rsidP="006E730C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0DDB" w:rsidRPr="005B6FB2" w:rsidTr="00C129D8">
        <w:trPr>
          <w:trHeight w:val="4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5B6FB2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6F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C129D8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Основные требования к составу, содержанию и форме представляемых материалов по этапам разработки документации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Подготовка документации</w:t>
            </w:r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по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подготовке </w:t>
            </w:r>
            <w:r w:rsidR="006E730C" w:rsidRPr="007D0A2D">
              <w:rPr>
                <w:rFonts w:ascii="Times New Roman" w:hAnsi="Times New Roman" w:cs="Times New Roman"/>
                <w:bCs/>
                <w:sz w:val="26"/>
                <w:szCs w:val="26"/>
              </w:rPr>
              <w:t>документации по</w:t>
            </w:r>
            <w:r w:rsidR="006E730C" w:rsidRPr="007D0A2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планировке территории в отношении   земельного участка, расположенного по адресу: с. </w:t>
            </w:r>
            <w:proofErr w:type="gramStart"/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Каменка </w:t>
            </w:r>
            <w:r w:rsidR="007D0A2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proofErr w:type="gramEnd"/>
            <w:r w:rsidR="007D0A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>Атяшевского</w:t>
            </w:r>
            <w:proofErr w:type="spellEnd"/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района Республики Мордовия, предназначенного для размещения линейного объекта «Буксировочная канатная дорога</w:t>
            </w:r>
            <w:r w:rsidR="006E730C" w:rsidRPr="007D0A2D">
              <w:rPr>
                <w:rFonts w:ascii="Times New Roman" w:hAnsi="Times New Roman" w:cs="Times New Roman"/>
                <w:b/>
                <w:sz w:val="26"/>
                <w:szCs w:val="26"/>
              </w:rPr>
              <w:t>».</w:t>
            </w:r>
            <w:r w:rsidR="006E730C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D0A2D">
              <w:rPr>
                <w:rFonts w:ascii="Times New Roman" w:hAnsi="Times New Roman" w:cs="Times New Roman"/>
                <w:sz w:val="26"/>
                <w:szCs w:val="26"/>
              </w:rPr>
              <w:t xml:space="preserve">Проект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планировки территории должен  быть выполнен в масштабе 1:1000 (при необходимости масштаб может быть изменен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 согласованию с</w:t>
            </w:r>
            <w:r w:rsidR="00197FCA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управлением строительства,  архитектуры и жилищно-коммунального хозяйства Администрации </w:t>
            </w:r>
            <w:proofErr w:type="spellStart"/>
            <w:r w:rsidR="00197FCA" w:rsidRPr="007D0A2D">
              <w:rPr>
                <w:rFonts w:ascii="Times New Roman" w:hAnsi="Times New Roman" w:cs="Times New Roman"/>
                <w:sz w:val="26"/>
                <w:szCs w:val="26"/>
              </w:rPr>
              <w:t>Атяшевского</w:t>
            </w:r>
            <w:proofErr w:type="spellEnd"/>
            <w:r w:rsidR="00197FCA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 муниципального района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) и удовлетворять требованиям ст. 42, 43 Градостроительного кодекса РФ (с изменениями),                        СП 42 13330.2011 «</w:t>
            </w:r>
            <w:proofErr w:type="spell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СниП</w:t>
            </w:r>
            <w:proofErr w:type="spellEnd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2.07.01-89* Градостроительство. Планировка и застройка городских и сельских поселений», </w:t>
            </w:r>
            <w:r w:rsidR="00197FCA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с учетом Генерального  плана Козловского сельского поселения </w:t>
            </w:r>
            <w:proofErr w:type="spellStart"/>
            <w:r w:rsidR="00197FCA" w:rsidRPr="007D0A2D">
              <w:rPr>
                <w:rFonts w:ascii="Times New Roman" w:hAnsi="Times New Roman" w:cs="Times New Roman"/>
                <w:sz w:val="26"/>
                <w:szCs w:val="26"/>
              </w:rPr>
              <w:t>Атяшевского</w:t>
            </w:r>
            <w:proofErr w:type="spellEnd"/>
            <w:r w:rsidR="00197FCA"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, постановления Правительства Российской Федерации от 12 мая  2017 года № 564 «Об утверждении  Положения о составе и содержании проектов планировки территории, предусматривающих размещение одного или нескольких линейных объектов» (с изменениями).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D0A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Состав проекта планировки территории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1. Проект планировки территории состоит из основной части, которая подлежит утверждению, и материалов по ее обоснованию.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2. Основная часть проекта планировки территории включает в себя: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раздел 1 "Проект планировки территории. Графическая часть";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раздел 2 "Положение о размещении линейных объектов".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3. Материалы по обоснованию проекта планировки территории включают в себя: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раздел 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3 "Материалы по обоснованию проекта планировки территории. Графическая часть";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раздел 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4 "Материалы по обоснованию проекта планировки территории. Пояснительная                             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записка".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Содержание основной части проекта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планировки территории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1. Раздел 1 "Проект планировки территории. Графическая часть" должен быть представлен в виде чертежа (чертежей), выполненного на цифровом топографическом плане, соответствующем требованиям, установленным федеральным органом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2. Раздел 1 "Проект планировки территории. Графическая часть" включает в себя: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чертеж красных линий;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чертеж границ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чертеж границ зон планируемого размещения линейных объектов, подлежащих реконструкции в связи с изменением их местоположения.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Объединение нескольких чертежей в один допускается при условии обеспечения читаемости линий и условных обозначений графических материалов.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3. На чертеже красных линий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существующие (ранее установленные в соответствии с законодательством Российской Федерации), устанавливаемые и отменяемые красные линии;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номера характерных точек устанавливаемых красных линий, в том числе точек начала и окончания красных линий, точек изменения описания красных линий. Перечень координат характерных точек устанавливаемых красных линий приводится в форме таблицы, которая является неотъемлемым приложением к чертежу красных линий;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пояснительные надписи, содержащие информацию о видах территорий общего пользования, для которых установлены и (или) устанавливаются красные линии;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границы существующих и планируемых элементов планировочной структуры.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4. На чертеже границ зон планируемого размещения линейных объектов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б) границы зон планируемого размещения линейных объектов с указанием границ зон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планируемого размещения объектов капитального строительства, проектируемых в составе линейных объектов, обеспечивающих в том числе соблюдение расчетных показателей минимально допустимого уровня обеспеченности территории объектами коммунальной, транспортной, социальной инфраструктур и расчетных показателей максимально допустимого уровня территориальной доступности указанных объектов для населения в соответствии с нормативами градостроительного проектирования. Места размещения объектов капитального строительства, проектируемых в составе линейного объекта, подлежат уточнению при архитектурно-строительном проектировании, но не могут выходить за границы зон планируемого размещения таких объектов, установленных проектом планировки территории. В случае если для размещения линейных объектов требуется образование земельных участков, границы зон планируемого размещения линейных объектов устанавливаются в соответствии с нормами отвода земельных участков для конкретных видов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номера характерных точек границ зон планируемого размещения линейных объектов, в том числе точек начала и окончания, точек изменения описания границ таких зон;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5. На чертеже границ зон планируемого размещения линейных объектов, подлежащих реконструкции в связи с изменением их местоположения,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номера характерных точек границ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5. Раздел 2 "Положение о размещении линейных объектов" должен содержать следующую информацию: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а) наименование, основные характеристики (категория, протяженность, проектная мощность, пропускная способность, грузонапряженность, интенсивность движения) и назначение планируемых для размещения линейных объектов, а также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перечень субъектов Российской Федерации, перечень муниципальных районов, городских округов в составе субъектов Российской Федерации, перечень поселений, населенных пунктов, внутригородских территорий городов федерального значения, на территориях которых устанавливаются зоны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перечень координат характерных точек границ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перечень координат характерных точек границ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предельные параметры разрешенного строительства, реконструкции объектов капитального строительства, входящих в состав линейных объектов в границах зон их планируемого размещения: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предельное количество этажей и (или) предельная высота объектов капитального строительства, входящих в состав линейных объектов, в границах каждой зоны планируемого размещения таких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максимальный процент застройки каждой зоны планируемого размещения объектов капитального строительства, входящих в состав линейных объектов, определяемый как отношение площади зоны планируемого размещения объекта капитального строительства, входящего в состав линейного объекта, которая может быть застроена, ко всей площади этой зоны;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за пределами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требования к архитектурным решениям объектов капитального строительства, входящих в состав линейных объектов, в границах каждой зоны планируемого размещения таких объектов, расположенной в границах территории исторического поселения федерального или регионального значения, с указанием: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требований к цветовому решению внешнего облика таких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требований к строительным материалам, определяющим внешний облик таких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требований к объемно-пространственным, архитектурно-стилистическим и иным характеристикам таких объектов, влияющим на их внешний облик и (или) на композицию, а также на силуэт застройки исторического поселения;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е) информация о необходимости осуществления мероприятий по защите сохраняемых объектов капитального строительства (здание, строение, сооружение, объекты, строительство которых не завершено), существующих и строящихся на момент подготовки проекта планировки территории, а также объектов капитального строительства, планируемых к строительству в соответствии с ранее утвержденной документацией по планировке территории, от возможного негативного воздействия в связи с размещением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ж) 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з) информация о необходимости осуществления мероприятий по охране окружающей среды;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и) информация о необходимости осуществления мероприятий по защите территории от чрезвычайных ситуаций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природного и техногенного характера, в том числе по обеспечению пожарной безопасности и гражданской обороне.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6. Наименование линейных объектов федерального, регионального или местного значения и их планируемое местоположение, указываемое в соответствии с подпунктами "а" и "б" пункта 5 настоящего Положения, должно соответствовать наименованию и планируемому местоположению, установленному документами территориального планирования, за исключением случаев, установленных частью 14 статьи 9 Градостроительного кодекса Российской Федерации, или случаев, когда такие линейные объекты не подлежат отображению в документах территориального планирования.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D0A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Содержание материалов по обоснованию проекта планировки территории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proofErr w:type="gram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Раздел  "</w:t>
            </w:r>
            <w:proofErr w:type="gramEnd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Материалы по обоснованию проекта планировки территории. Графическая часть" должен быть представлен в виде схем, выполненных на цифровом топографическом плане, соответствующем требованиям, установленным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proofErr w:type="gram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Раздел  "</w:t>
            </w:r>
            <w:proofErr w:type="gramEnd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Материалы по обоснованию проекта планировки территории. Графическая часть" содержит следующие схемы: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схема расположения элементов планировочной структуры (территорий, занятых линейными объектами и (или) предназначенных для размещения линейных объектов);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схема использования территории в период подготовки проекта планировки территории;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схема организации улично-дорожной сети и движения транспорта;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схема вертикальной планировки территории, инженерной подготовки и инженерной защиты территории;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д) схема границ территорий объектов культурного наследия;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е) схема границ зон с особыми условиями использования территорий, особо охраняемых природных территорий, лесничеств;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ж) схема границ территорий, подверженных риску возникновения чрезвычайных ситуаций природного и техногенного характера (пожар, взрыв, химическое, радиоактивное заражение, затопление, подтопление, оползень, карсты, эрозия и т.д.);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з) схема конструктивных и планировочных решений.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3. Схема расположения элементов планировочной структуры разрабатывается в масштабе от 1:10 000 до 1:25 000 при условии обеспечения читаемости линий и условных обозначений графических материалов. На этой схеме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схемы расположения элементов планировочной структуры, в пределах границ субъекта (субъектов) Российской Федерации, на территории которого устанавливаются границы зон планируемого размещения линейных объектов и границы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границы зон планируемого размещения линейных объектов, подлежащих реконструкции в связи с изменением их местоположения.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4. На схеме использования территории в период подготовки проекта планировки территории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границы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г) сведения об отнесении к определенной категории земель в границах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границы существующих земельных участков, учтенных в Едином государственном реестре недвижимости, в границах территории, в отношении которой осуществляется подготовка проекта планировки, с указанием форм собственности таких земельных участков и информации о необходимости изъятия таких земельных участков для государственных и муниципальных нужд;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е) контуры существующих сохраняемых объектов капитального строительства, а также подлежащих сносу и (или) демонтажу и не подлежащих реконструкции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ж) границы зон планируемого размещения объектов капитального строительства, установленные ранее утвержденной документацией по планировке территории, в случае планируемого размещения таковых в границах территории, в отношении которой осуществляется подготовка проекта планировки.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5. Схема организации улично-дорожной сети и движения транспорта выполняется в случае подготовки проекта планировки территории, предусматривающего размещение автомобильных дорог и (или) железнодорожного транспорта. На этой схеме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границы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категории улиц и дорог;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линии внутриквартальных проездов и проходов в границах территории общего пользования, границы публичных сервитутов;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е) остановочные пункты наземного общественного пассажирского транспорта,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входы (выходы) подземного общественного пассажирского транспорта;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ж) объекты транспортной инфраструктуры с выделением эстакад, путепроводов, мостов, тоннелей, объектов внеуличного транспорта, железнодорожных вокзалов, пассажирских платформ, сооружений и устройств для хранения и обслуживания транспортных средств (в том числе подземных) и иных подобных объектов в соответствии с региональными и местными нормативами градостроительного проектирования;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з) хозяйственные проезды и скотопрогоны, сооружения для перехода диких животных;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и) основные пути пешеходного движения, пешеходные переходы на одном и разных уровнях;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к) направления движения наземного общественного пассажирского транспорта;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л) иные объекты транспортной инфраструктуры с учетом существующих и прогнозных потребностей в транспортном обеспечении территории.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6. Схема вертикальной планировки территории, инженерной подготовки и инженерной защиты территории выполняется в случаях, установленных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 Допускается отображение соответствующей информации на одной или нескольких схемах в зависимости от обеспечения читаемости линий и условных обозначений. На этой схеме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в) существующие и директивные (проектные) отметки поверхности по осям трасс автомобильных и железных дорог, проезжих частей в местах пересечения улиц и проездов и в местах перелома продольного профиля, а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также других планировочных элементов для вертикальной увязки проектных решений, включая смежные территории;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проектные продольные уклоны, направление продольного уклона, расстояние между точками, ограничивающими участок с продольным уклоном;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горизонтали, отображающие проектный рельеф в виде параллельных линий;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е) поперечные профили автомобильных и железных дорог, улично-дорожной сети в масштабе 1:100 - 1:200. Ширина автомобильной дороги и функциональных элементов поперечного профиля приводится с точностью до 0,01 метра. Асимметричные поперечные профили сопровождаются пояснительной надписью для ориентации профиля относительно плана.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7. Схема границ территорий объектов культурного наследия разрабатывается в случае наличия объектов культурного наследия в границах территории, в отношении которой осуществляется подготовка проекта планировки. При отсутствии объектов культурного наследия в границах территории, в отношении которой осуществляется подготовка проекта планировки, соответствующая информация указывается в разделе 4 "Материалы по обоснованию проекта планировки территории. Пояснительная записка". На этой схеме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границы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границы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границы территорий выявленных объектов культурного наследия.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 На схеме границ зон с особыми условиями использования территорий, особо охраняемых природных территорий, лесничеств, которая может представляться в виде одной или нескольких схем,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границы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границы зон с особыми условиями использования территорий: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установленные в соответствии с законодательством Российской Федерации;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подлежащие установлению, изменению в связи с размещением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подлежащие установлению, изменению в связи с размещением линейных объектов, подлежащих реконструкции в связи с их переносом из зон планируемого размещения линейных объектов либо в границах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границы особо охраняемых природных территорий, границы лесничеств.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9. На схеме границ территорий, подверженных риску возникновения чрезвычайных ситуаций природного и техногенного характера (пожар, взрыв, химическое, радиоактивное заражение, затопление, подтопление, оползень, карсты, эрозия и т.д.),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границы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г) границы территорий, подверженных риску возникновения чрезвычайных ситуаций природного и техногенного характера (в соответствии с исходными данными, материалами документов территориального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планирования, а в случае их отсутствия - в соответствии с нормативно-техническими документами).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10. На схеме конструктивных и планировочных решений, подготавливаемой в целях обоснования границ зон планируемого размещения линейных объектов,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территории, в отношении которой осуществляется подготовка проекта планировки;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ось планируемого линейного объекта с нанесением пикетажа и (или) километровых отметок;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конструктивные и планировочные решения, планируемые в отношении линейного объекта и (или) объектов капитального строительства, проектируемых в составе линейного объекта, в объеме, достаточном для определения зоны планируемого размещения линейного объекта.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11. В состав графической части материалов по обоснованию проектов планировки территории могут включаться схемы в графической форме для обоснования размещения линейных объектов, если это предусмотрено заданием.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Объединение нескольких схем в одну допускается исключительно при условии обеспечения читаемости линий и условных обозначений графической части материалов по обоснованию проекта планировки территории.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12. Раздел 4 "Материалы по обоснованию проекта планировки территории. Пояснительная записка" содержит: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описание природно-климатических условий территории, в отношении которой разрабатывается проект планировки территории;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обоснование определения границ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обоснование определения границ зон планируемого размещения линейных объектов, подлежащих реконструкции в связи с изменением их местоположения;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г) обоснование определения предельных параметров застройки территории в границах зон планируемого размещения объектов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капитального строительства, проектируемых в составе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ведомость пересечений границ зон планируемого размещения линейного объекта (объектов) с сохраняемыми объектами капитального строительства (здание, строение, сооружение, объект, строительство которого не завершено), существующими и строящимися на момент подготовки проекта планировки территории;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е) ведомость пересечений границ зон планируемого размещения линейного объекта (объектов) с объектами капитального строительства, строительство которых запланировано в соответствии с ранее утвержденной документацией по планировке территории;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ж) ведомость пересечений границ зон планируемого размещения линейного объекта (объектов) с водными объектами (в том числе с водотоками, водоемами, болотами и т.д.).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13. Обязательным приложением к разделу 4 "Материалы по обоснованию проекта планировки территории. Пояснительная записка" являются: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материалы и результаты инженерных изысканий, используемые при подготовке проекта планировки территории, с приложением документов, подтверждающих соответствие лиц, выполнивших инженерные изыскания, требованиям части 2 статьи 47 Градостроительного кодекса Российской Федерации;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программа и задание на проведение инженерных изысканий, используемые при подготовке проекта планировки территории;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исходные данные, используемые при подготовке проекта планировки территории;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решение о подготовке документации по планировке территории с приложением задания.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Состав проекта межевания территории,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подготавливаемого в составе проекта планировки территории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или в виде отдельного документа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1. Проект межевания территории состоит из основной части, которая подлежит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утверждению, и материалов по его обоснованию.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2. Основная часть проекта межевания территории включает в себя: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- раздел 1 "Проект межевания территории. Графическая часть"; 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- раздел 2 "Проект межевания территории. Текстовая часть".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3. Материалы по обоснованию проекта межевания территории включают в себя: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- раздел 3 "Материалы по обоснованию проекта межевания территории. Графическая часть</w:t>
            </w:r>
            <w:proofErr w:type="gram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";   </w:t>
            </w:r>
            <w:proofErr w:type="gramEnd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             - раздел 4 "Материалы по обоснованию проекта межевания территории. Пояснительная записка".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4. Раздел 1 "Проект межевания территории. Графическая часть" включает в себя чертеж (чертежи) межевания территории, выполненный на цифровом топографическом плане, соответствующем требованиям, установленным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4.1. На чертеже (чертежах) межевания территории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планируемых (в случае, если подготовка проекта межевания территории осуществляется в составе проекта планировки территории) и существующих элементов планировочной структуры;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красные линии, утвержденные в составе проекта планировки территории, или красные линии, устанавливаемые, изменяемые, отменяемые в соответствии с пунктом 2 части 2 статьи 43 Градостроительного кодекса Российской Федерации;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в) границы образуемых и (или) изменяемых земельных участков (далее - образуемые земельные участки), условные номера образуемых земельных участков, в том числе расположенных полностью или частично в границах зоны планируемого размещения линейного объекта, в отношении которых предполагаются их резервирование и (или)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изъятие для государственных или муниципальных нужд;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линии отступа от красных линий в целях определения мест допустимого размещения зданий, строений, сооружений;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границы земельных участков, образование которых предусмотрено схемой расположения земельного участка или земельных участков на кадастровом плане территории, срок действия которой не истек.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5. Раздел 2 "Проект межевания территории. Текстовая часть" должен содержать следующую информацию: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перечень образуемых земельных участков, подготавливаемый в форме таблицы, содержащий следующие сведения: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условные номера образуемых земельных участков;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номера характерных точек образуемых земельных участков;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кадастровые номера земельных участков, из которых образуются земельные участки;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площадь образуемых земельных участков;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способы образования земельных участков;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сведения об отнесении (</w:t>
            </w:r>
            <w:proofErr w:type="spellStart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неотнесении</w:t>
            </w:r>
            <w:proofErr w:type="spellEnd"/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) образуемых земельных участков к территории общего пользования;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условные номера образуемых земельных участков, кадастровые номера или иные ранее присвоенные государственные учетные номера существующих земельных участков, в отношении которых предполагаются их резервирование и (или) изъятие для государственных или муниципальных нужд, их адреса или описание местоположения, перечень и адреса расположенных на таких земельных участках объектов недвижимого имущества (при наличии сведений о них в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Едином государственном реестре недвижимости);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перечень кадастровых номеров существующих земельных участков, на которых линейный объект может быть размещен на условиях сервитута, публичного сервитута, их адреса или описание местоположения, перечень и адреса расположенных на таких земельных участках объектов недвижимого имущества (при наличии сведений о них в Едином государственном реестре недвижимости);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сведения об отнесении образуемого земельного участка к определенной категории земель (в том числе в случае, если земельный участок в связи с размещением линейного объекта подлежит отнесению к определенной категории земель в силу закона без необходимости принятия решения о переводе земельного участка из состава земель этой категории в другую) или сведения о необходимости перевода земельного участка из состава земель одной категории в другую;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перечень координат характерных точек образуемых земельных участков;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сведения о границах территории, применительно к которой осуществляется подготовка проекта межевания, содержащие перечень координат характерных точек таких границ в системе координат, используемой для ведения Единого государственного реестра недвижимости. Координаты характерных точек границ территории, применительно к которой осуществляется подготовка проекта межевания, определяются в соответствии с требованиями к точности определения координат характерных точек границ, установленных в соответствии с Градостроительным кодексом Российской Федерации для территориальных зон;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 xml:space="preserve">г) вид разрешенного использования образуемых земельных участков, предназначенных для размещения линейных объектов и объектов капитального строительства, проектируемых в составе линейного объекта, а также существующих земельных участков, занятых линейными объектами и объектами капитального строительства, входящими в состав линейных </w:t>
            </w: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объектов, в соответствии с проектом планировки территории.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6. Раздел 3 "Материалы по обоснованию проекта межевания территории. Графическая часть" содержит чертежи, выполненные на цифровом топографическом плане, соответствующем требованиям, установленным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градостроительства, на которых отображаются: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границы субъектов Российской Федерации, муниципальных образований, населенных пунктов, в которых расположена территория, применительно к которой подготавливается проект межевания;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границы существующих земельных участков;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границы публичных сервитутов, установленных в соответствии с законодательством Российской Федерации;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границы публичных сервитутов, подлежащих установлению в соответствии с законодательством Российской Федерации;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д) границы зон с особыми условиями использования территорий, установленные в соответствии с законодательством Российской Федерации;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е) границы зон с особыми условиями использования территорий, подлежащие установлению, изменению в связи с размещением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ж) границы зон с особыми условиями использования территорий, подлежащие установлению, изменению в связи с размещением линейных объектов, подлежащих реконструкции в связи с их переносом из зон планируемого размещения линейных объектов либо в границах зон планируемого размещения линейных объектов;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з) местоположение существующих объектов капитального строительства;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и) границы особо охраняемых природных территорий;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к) границы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границы территорий выявленных объектов культурного наследия;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л) границы лесничеств, участковых лесничеств, лесных кварталов, лесотаксационных выделов или частей лесотаксационных выделов.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7. Раздел 4 "Материалы по обоснованию проекта межевания территории. Пояснительная записка" содержит: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а) обоснование определения местоположения границ образуемого земельного участка с учетом соблюдения требований к образуемым земельным участкам, в том числе требований к предельным (минимальным и (или) максимальным) размерам земельных участков;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б) обоснование способа образования земельного участка;</w:t>
            </w:r>
          </w:p>
          <w:p w:rsidR="003A0DDB" w:rsidRPr="007D0A2D" w:rsidRDefault="003A0DDB" w:rsidP="00C129D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в) обоснование определения размеров образуемого земельного участка;</w:t>
            </w:r>
          </w:p>
          <w:p w:rsidR="003A0DDB" w:rsidRPr="007D0A2D" w:rsidRDefault="003A0DDB" w:rsidP="00C129D8">
            <w:pPr>
              <w:shd w:val="clear" w:color="auto" w:fill="FFFFFF"/>
              <w:spacing w:after="0" w:line="240" w:lineRule="auto"/>
              <w:rPr>
                <w:color w:val="2D2D2D"/>
                <w:spacing w:val="2"/>
                <w:sz w:val="26"/>
                <w:szCs w:val="26"/>
              </w:rPr>
            </w:pPr>
            <w:r w:rsidRPr="007D0A2D">
              <w:rPr>
                <w:rFonts w:ascii="Times New Roman" w:hAnsi="Times New Roman" w:cs="Times New Roman"/>
                <w:sz w:val="26"/>
                <w:szCs w:val="26"/>
              </w:rPr>
              <w:t>г) обоснование определения границ публичного сервитута, подлежащего установлению в соответствии с законодательством Российской Федерации.</w:t>
            </w:r>
          </w:p>
        </w:tc>
      </w:tr>
    </w:tbl>
    <w:p w:rsidR="004C7467" w:rsidRDefault="004C7467"/>
    <w:sectPr w:rsidR="004C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DDB"/>
    <w:rsid w:val="00194D2E"/>
    <w:rsid w:val="00197FCA"/>
    <w:rsid w:val="001F4BE2"/>
    <w:rsid w:val="0032774B"/>
    <w:rsid w:val="00330FE7"/>
    <w:rsid w:val="00340AD3"/>
    <w:rsid w:val="003568A6"/>
    <w:rsid w:val="003672D4"/>
    <w:rsid w:val="003A0DDB"/>
    <w:rsid w:val="003A2E5E"/>
    <w:rsid w:val="003C4D3C"/>
    <w:rsid w:val="004C7467"/>
    <w:rsid w:val="00632F86"/>
    <w:rsid w:val="006E730C"/>
    <w:rsid w:val="007D0A2D"/>
    <w:rsid w:val="00816FAA"/>
    <w:rsid w:val="00840FF0"/>
    <w:rsid w:val="00862288"/>
    <w:rsid w:val="00B55A45"/>
    <w:rsid w:val="00CF3A49"/>
    <w:rsid w:val="00D1590C"/>
    <w:rsid w:val="00F4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17092"/>
  <w15:chartTrackingRefBased/>
  <w15:docId w15:val="{5F41EB2A-4196-4672-B6F2-C78A58CF6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DDB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32774B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2774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0A2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32774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774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5118</Words>
  <Characters>29173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8</cp:revision>
  <cp:lastPrinted>2021-08-17T09:54:00Z</cp:lastPrinted>
  <dcterms:created xsi:type="dcterms:W3CDTF">2021-08-12T05:41:00Z</dcterms:created>
  <dcterms:modified xsi:type="dcterms:W3CDTF">2021-08-19T13:03:00Z</dcterms:modified>
</cp:coreProperties>
</file>